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8"/>
      </w:tblGrid>
      <w:tr w:rsidR="00204839">
        <w:tc>
          <w:tcPr>
            <w:tcW w:w="35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4839" w:rsidRDefault="0064567B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br w:type="page" w:clear="all"/>
            </w:r>
            <w:r>
              <w:rPr>
                <w:b/>
                <w:sz w:val="28"/>
                <w:szCs w:val="28"/>
              </w:rPr>
              <w:t>УТВЕРЖДЕНЫ</w:t>
            </w:r>
          </w:p>
          <w:p w:rsidR="00204839" w:rsidRDefault="00645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постановлением мэрии</w:t>
            </w:r>
          </w:p>
          <w:p w:rsidR="00204839" w:rsidRDefault="006456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Магадана</w:t>
            </w:r>
          </w:p>
          <w:p w:rsidR="00204839" w:rsidRDefault="00204839">
            <w:pPr>
              <w:jc w:val="center"/>
              <w:rPr>
                <w:b/>
                <w:sz w:val="28"/>
                <w:szCs w:val="28"/>
              </w:rPr>
            </w:pPr>
          </w:p>
          <w:p w:rsidR="00204839" w:rsidRDefault="00DE2AF8">
            <w:pPr>
              <w:jc w:val="center"/>
              <w:rPr>
                <w:szCs w:val="20"/>
              </w:rPr>
            </w:pPr>
            <w:r w:rsidRPr="00DE2AF8">
              <w:rPr>
                <w:b/>
                <w:sz w:val="28"/>
                <w:szCs w:val="28"/>
              </w:rPr>
              <w:t>от 24.10.2025 № 4212-пм</w:t>
            </w:r>
            <w:bookmarkStart w:id="0" w:name="_GoBack"/>
            <w:bookmarkEnd w:id="0"/>
          </w:p>
          <w:p w:rsidR="00204839" w:rsidRDefault="00204839">
            <w:pPr>
              <w:pStyle w:val="26"/>
              <w:spacing w:line="360" w:lineRule="auto"/>
              <w:ind w:right="534" w:firstLine="0"/>
              <w:jc w:val="both"/>
            </w:pPr>
          </w:p>
        </w:tc>
      </w:tr>
    </w:tbl>
    <w:p w:rsidR="00204839" w:rsidRDefault="00204839">
      <w:pPr>
        <w:pStyle w:val="26"/>
        <w:spacing w:line="360" w:lineRule="auto"/>
        <w:ind w:left="540" w:right="534" w:firstLine="0"/>
        <w:jc w:val="left"/>
        <w:rPr>
          <w:sz w:val="28"/>
          <w:szCs w:val="28"/>
        </w:rPr>
      </w:pPr>
    </w:p>
    <w:p w:rsidR="00204839" w:rsidRDefault="00204839">
      <w:pPr>
        <w:pStyle w:val="26"/>
        <w:ind w:left="539" w:right="533" w:firstLine="0"/>
      </w:pPr>
    </w:p>
    <w:p w:rsidR="00204839" w:rsidRDefault="00204839">
      <w:pPr>
        <w:pStyle w:val="26"/>
        <w:ind w:left="539" w:right="533" w:firstLine="0"/>
      </w:pPr>
    </w:p>
    <w:p w:rsidR="00204839" w:rsidRDefault="0064567B">
      <w:pPr>
        <w:pStyle w:val="26"/>
        <w:spacing w:line="360" w:lineRule="auto"/>
        <w:ind w:right="-2" w:firstLine="0"/>
      </w:pPr>
      <w:r>
        <w:rPr>
          <w:sz w:val="28"/>
          <w:szCs w:val="28"/>
        </w:rPr>
        <w:t>ОСНОВНЫЕ НАПРАВЛЕНИЯ</w:t>
      </w:r>
    </w:p>
    <w:p w:rsidR="00204839" w:rsidRDefault="0064567B">
      <w:pPr>
        <w:pStyle w:val="26"/>
        <w:ind w:right="-2" w:firstLine="0"/>
        <w:rPr>
          <w:sz w:val="28"/>
        </w:rPr>
      </w:pPr>
      <w:r>
        <w:rPr>
          <w:sz w:val="28"/>
        </w:rPr>
        <w:t xml:space="preserve"> бюджетной и налоговой политики муниципального образования </w:t>
      </w:r>
    </w:p>
    <w:p w:rsidR="00204839" w:rsidRPr="0064567B" w:rsidRDefault="0064567B">
      <w:pPr>
        <w:pStyle w:val="26"/>
        <w:ind w:right="-2" w:firstLine="0"/>
        <w:rPr>
          <w:sz w:val="28"/>
          <w:highlight w:val="lightGray"/>
        </w:rPr>
      </w:pPr>
      <w:r>
        <w:rPr>
          <w:sz w:val="28"/>
        </w:rPr>
        <w:t>«Город Магадан» на 2026 год и плановый период 2027 и 2028 годов</w:t>
      </w:r>
    </w:p>
    <w:p w:rsidR="00204839" w:rsidRDefault="00204839">
      <w:pPr>
        <w:pStyle w:val="ConsNormal"/>
        <w:widowControl/>
        <w:spacing w:line="360" w:lineRule="auto"/>
        <w:ind w:right="0" w:firstLine="0"/>
        <w:rPr>
          <w:rFonts w:ascii="Times New Roman" w:hAnsi="Times New Roman"/>
          <w:sz w:val="24"/>
          <w:szCs w:val="24"/>
        </w:rPr>
      </w:pPr>
    </w:p>
    <w:p w:rsidR="00204839" w:rsidRDefault="0064567B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Основные направления бюджетной и налоговой политики муниципального образования «Город Магадан» на 2026 год и плановый период 2027 и 2028 годов подготовлены в соответствии с Бюджетным кодексом Российской Федерации, Положением о бюджетном процессе в муниципа</w:t>
      </w:r>
      <w:r>
        <w:rPr>
          <w:sz w:val="28"/>
          <w:szCs w:val="28"/>
        </w:rPr>
        <w:t>льном образовании «Город Магадан», утвержденным решением Магаданской городской Думы от 15.09.2017 № 64-Д, с целью определения условий, используемых при составлении бюджета муниципального образования «Город Магадан» на 2025 год и на плановый период 2026 и 2</w:t>
      </w:r>
      <w:r>
        <w:rPr>
          <w:sz w:val="28"/>
          <w:szCs w:val="28"/>
        </w:rPr>
        <w:t>027 годов, подходов к его формированию, основных характеристик и прогнозируемых параметров.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ind w:firstLine="709"/>
        <w:jc w:val="both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>При подготовке основных направлений учтены положения Указа Президента Российской Федерации от 7 мая 2024 г. № 309 «О национальных целях развития Российской Федераци</w:t>
      </w:r>
      <w:r>
        <w:rPr>
          <w:sz w:val="28"/>
          <w:szCs w:val="28"/>
          <w:highlight w:val="white"/>
        </w:rPr>
        <w:t>и на период до 2030 года и на перспективу до 2036 года»</w:t>
      </w:r>
      <w:r>
        <w:rPr>
          <w:sz w:val="28"/>
          <w:szCs w:val="28"/>
        </w:rPr>
        <w:t>.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ind w:firstLine="709"/>
        <w:jc w:val="center"/>
        <w:outlineLvl w:val="0"/>
        <w:rPr>
          <w:sz w:val="28"/>
          <w:szCs w:val="28"/>
          <w:highlight w:val="yellow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и задачи бюджетной и налоговой политики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Бюджетная и налоговая политика на 2026 год и плановый период 2027 и 2028 годов выстраивается в соответствии с действующим федеральным и региональным </w:t>
      </w:r>
      <w:r>
        <w:rPr>
          <w:sz w:val="28"/>
          <w:szCs w:val="28"/>
        </w:rPr>
        <w:t xml:space="preserve">законодательством. 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Основные направления </w:t>
      </w:r>
      <w:r>
        <w:rPr>
          <w:sz w:val="28"/>
          <w:szCs w:val="28"/>
        </w:rPr>
        <w:t xml:space="preserve">бюджетной и налоговой политики муниципального образования «Город Магадан» в среднесрочной перспективе </w:t>
      </w:r>
      <w:r>
        <w:rPr>
          <w:sz w:val="28"/>
          <w:szCs w:val="28"/>
        </w:rPr>
        <w:lastRenderedPageBreak/>
        <w:t>сохраняют преемственность в отношении установленных ранее приоритетов на последующий трехлетний период и скоррек</w:t>
      </w:r>
      <w:r>
        <w:rPr>
          <w:sz w:val="28"/>
          <w:szCs w:val="28"/>
        </w:rPr>
        <w:t>тированы с учетом негативных изменений экономической ситуации и необходимостью реализации первоочередных задач</w:t>
      </w:r>
      <w:r>
        <w:rPr>
          <w:sz w:val="28"/>
          <w:szCs w:val="28"/>
        </w:rPr>
        <w:t xml:space="preserve">, а также способствовать сохранению стабильности и устойчивости местного бюджета. 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Основными целями бюджетной и налоговой политики на 2026 год и </w:t>
      </w:r>
      <w:r>
        <w:rPr>
          <w:sz w:val="28"/>
          <w:szCs w:val="28"/>
        </w:rPr>
        <w:t xml:space="preserve">плановый период 2027 и 2028 годов </w:t>
      </w:r>
      <w:r>
        <w:rPr>
          <w:sz w:val="28"/>
          <w:szCs w:val="28"/>
        </w:rPr>
        <w:t>являетс</w:t>
      </w:r>
      <w:r w:rsidRPr="0064567B">
        <w:rPr>
          <w:sz w:val="28"/>
          <w:szCs w:val="28"/>
          <w:shd w:val="clear" w:color="FFFFFF" w:fill="FFFFFF"/>
        </w:rPr>
        <w:t>я максимально полное финансовое обеспечение расходных полномочий м</w:t>
      </w:r>
      <w:r>
        <w:rPr>
          <w:sz w:val="28"/>
          <w:szCs w:val="28"/>
        </w:rPr>
        <w:t>естного самоуправления</w:t>
      </w:r>
      <w:r>
        <w:rPr>
          <w:sz w:val="28"/>
          <w:szCs w:val="28"/>
        </w:rPr>
        <w:t xml:space="preserve">, определенных Федеральным законом от 06.10.2003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t>Федерации», статьей 4 Положения о бюджетном процессе в муниципальном образовании «Город Магадан», утвержденного решением Магаданской городской Думы от 15.09.2017 № 64-Д и нормативными правовыми актами Российской Федерации, Магаданской области и муниципальн</w:t>
      </w:r>
      <w:r>
        <w:rPr>
          <w:sz w:val="28"/>
          <w:szCs w:val="28"/>
        </w:rPr>
        <w:t>ого образования «Город Магадан», укрепление доходной базы местного бюджета, формирование оптимальной структуры расходов бюджета, ориентированной на содействие социальному и экономическому развитию муниципального образования.</w:t>
      </w:r>
      <w:r>
        <w:rPr>
          <w:sz w:val="28"/>
          <w:szCs w:val="28"/>
        </w:rPr>
        <w:t xml:space="preserve"> 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достижения указанных целей</w:t>
      </w:r>
      <w:r>
        <w:rPr>
          <w:sz w:val="28"/>
          <w:szCs w:val="28"/>
        </w:rPr>
        <w:t xml:space="preserve"> необходимо ориентироваться на решение следующих задач: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обеспечение долгосрочной устойчивости и сбалансированности местного бюджета;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- безусловное исполнение действующих расходных обязательств, принятие новых бюджетных обязательств, но только при условии их финансового обеспечения;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реализацию мер по повышению эффективности и результативности бюджетных расходов, в том числе путем выпо</w:t>
      </w:r>
      <w:r>
        <w:rPr>
          <w:sz w:val="28"/>
          <w:szCs w:val="28"/>
        </w:rPr>
        <w:t>лнения мероприятий, направленных на оптимизацию расходов, соблюдение условий использования целевых средств, полученных из других бюджетов бюджетной системы Российской Федерации;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развитие и совершенствование методологии разработки и реализации муниципаль</w:t>
      </w:r>
      <w:r>
        <w:rPr>
          <w:sz w:val="28"/>
          <w:szCs w:val="28"/>
        </w:rPr>
        <w:t>ных программ, повышения качества их планирования и эффективности реализации исходя из ожидаемых результатов;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обеспечение соблюдения принципов законности, целесообразности и эффективности бюджетных расходов через механизм внутреннего муниципального финан</w:t>
      </w:r>
      <w:r>
        <w:rPr>
          <w:sz w:val="28"/>
          <w:szCs w:val="28"/>
        </w:rPr>
        <w:t>сового контроля в соответствии с федеральными стандартами осуществления финансового контроля;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повышение качества финансового менеджмента главных распорядителей бюджетных средств;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повышение эффективности оказания муниципальных услуг;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  - обеспечение </w:t>
      </w:r>
      <w:r>
        <w:rPr>
          <w:sz w:val="28"/>
          <w:szCs w:val="28"/>
        </w:rPr>
        <w:t>полного и стабильного поступления налоговых и неналоговых доходов в местный бюджет;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  - недопущение роста кредиторской и дебиторской задолженности, принятие мер по погашению сложившейся кредиторской и дебиторской задолженности местного бюджета;</w:t>
      </w:r>
    </w:p>
    <w:p w:rsidR="00204839" w:rsidRDefault="0064567B">
      <w:pPr>
        <w:tabs>
          <w:tab w:val="left" w:pos="567"/>
          <w:tab w:val="left" w:pos="993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сдержив</w:t>
      </w:r>
      <w:r>
        <w:rPr>
          <w:sz w:val="28"/>
          <w:szCs w:val="28"/>
        </w:rPr>
        <w:t>ание роста долговых обязательств муниципального образования и сохранение муниципального долга на экономически безопасном уровне;</w:t>
      </w:r>
    </w:p>
    <w:p w:rsidR="00204839" w:rsidRDefault="006456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осуществления внутреннего муниципального финансового контроля;</w:t>
      </w:r>
    </w:p>
    <w:p w:rsidR="00204839" w:rsidRDefault="006456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обеспечение эффективного управления,</w:t>
      </w:r>
      <w:r>
        <w:rPr>
          <w:color w:val="000000"/>
          <w:sz w:val="28"/>
          <w:szCs w:val="28"/>
        </w:rPr>
        <w:t xml:space="preserve"> распоряжения, </w:t>
      </w:r>
      <w:r>
        <w:rPr>
          <w:color w:val="000000"/>
          <w:sz w:val="28"/>
          <w:szCs w:val="28"/>
        </w:rPr>
        <w:br/>
        <w:t xml:space="preserve">а также рационального использования муниципального </w:t>
      </w:r>
      <w:r>
        <w:rPr>
          <w:color w:val="000000"/>
          <w:sz w:val="28"/>
          <w:szCs w:val="28"/>
        </w:rPr>
        <w:br/>
        <w:t>имущества муниципального образования «Город Магадан».</w:t>
      </w:r>
      <w:r>
        <w:rPr>
          <w:color w:val="000000"/>
          <w:highlight w:val="yellow"/>
        </w:rPr>
        <w:br/>
      </w:r>
      <w:r>
        <w:rPr>
          <w:sz w:val="28"/>
          <w:szCs w:val="28"/>
        </w:rPr>
        <w:tab/>
        <w:t>Поставленные задачи могут быть решены путем:</w:t>
      </w:r>
    </w:p>
    <w:p w:rsidR="00204839" w:rsidRDefault="006456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усиления ответственности администраторов доходов местного бюджета за полноту, правильн</w:t>
      </w:r>
      <w:r>
        <w:rPr>
          <w:sz w:val="28"/>
          <w:szCs w:val="28"/>
        </w:rPr>
        <w:t xml:space="preserve">ость исчисления, взыскания платежей в местный бюджет; </w:t>
      </w:r>
    </w:p>
    <w:p w:rsidR="00204839" w:rsidRDefault="0064567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совершенствования методов администрирования доходов, повышения уровня ответственности главных администраторов доходов </w:t>
      </w:r>
      <w:r>
        <w:rPr>
          <w:sz w:val="28"/>
          <w:szCs w:val="28"/>
        </w:rPr>
        <w:lastRenderedPageBreak/>
        <w:t>бюджета за качественное прогнозирование доходов бюджета и выполнение в полном об</w:t>
      </w:r>
      <w:r>
        <w:rPr>
          <w:sz w:val="28"/>
          <w:szCs w:val="28"/>
        </w:rPr>
        <w:t>ъеме утвержденных годовых назначений по доходам</w:t>
      </w:r>
      <w:r w:rsidRPr="0064567B">
        <w:rPr>
          <w:color w:val="000000"/>
          <w:sz w:val="28"/>
          <w:szCs w:val="28"/>
        </w:rPr>
        <w:t>;</w:t>
      </w:r>
    </w:p>
    <w:p w:rsidR="00204839" w:rsidRDefault="0064567B">
      <w:pPr>
        <w:spacing w:line="360" w:lineRule="auto"/>
        <w:ind w:firstLine="709"/>
        <w:jc w:val="both"/>
        <w:rPr>
          <w:color w:val="000000"/>
        </w:rPr>
      </w:pPr>
      <w:r w:rsidRPr="0064567B">
        <w:rPr>
          <w:color w:val="000000"/>
          <w:sz w:val="28"/>
          <w:szCs w:val="28"/>
        </w:rPr>
        <w:t>- формирования перечня налоговых расходов местного бюджета, а также проведением ежегодной оценки социальной и бюджетной эффективности предоставленных льгот по местным налогам. Проведением анализа налоговых р</w:t>
      </w:r>
      <w:r w:rsidRPr="0064567B">
        <w:rPr>
          <w:color w:val="000000"/>
          <w:sz w:val="28"/>
          <w:szCs w:val="28"/>
        </w:rPr>
        <w:t>асходов по местным налогам и принятием решений о целесообразности внесения изменений в муниципальные правовые акты, устанавливающие налоги на территории муниципального образования;</w:t>
      </w:r>
    </w:p>
    <w:p w:rsidR="00204839" w:rsidRDefault="0064567B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реализации утвержденного Плана мероприятий по росту доходного потенциала,</w:t>
      </w:r>
      <w:r>
        <w:rPr>
          <w:color w:val="000000"/>
          <w:sz w:val="28"/>
          <w:szCs w:val="28"/>
        </w:rPr>
        <w:t xml:space="preserve"> оптимизации расходов бюджета муниципального образования «Город Магадан»;</w:t>
      </w:r>
    </w:p>
    <w:p w:rsidR="00204839" w:rsidRDefault="0064567B">
      <w:pPr>
        <w:spacing w:line="360" w:lineRule="auto"/>
        <w:ind w:firstLine="709"/>
        <w:jc w:val="both"/>
        <w:rPr>
          <w:color w:val="000000"/>
        </w:rPr>
      </w:pPr>
      <w:r>
        <w:rPr>
          <w:sz w:val="28"/>
          <w:szCs w:val="28"/>
        </w:rPr>
        <w:t>- совершенствования системы управления муниципальным имуществом, обеспечения полного учета имущества входящего в состав муниципальной казны, установление жесткого контроля за использ</w:t>
      </w:r>
      <w:r>
        <w:rPr>
          <w:sz w:val="28"/>
          <w:szCs w:val="28"/>
        </w:rPr>
        <w:t xml:space="preserve">ованием объектов муниципальной собственности, </w:t>
      </w:r>
      <w:r w:rsidRPr="0064567B">
        <w:rPr>
          <w:color w:val="000000"/>
          <w:sz w:val="28"/>
          <w:szCs w:val="28"/>
        </w:rPr>
        <w:t>повышение эффективности управления муниципальным имуществом посредством выявления неиспользуемых и (или) неэффективно используемых основных фондов и принятием мер по их перепрофилированию, продаже или предостав</w:t>
      </w:r>
      <w:r w:rsidRPr="0064567B">
        <w:rPr>
          <w:color w:val="000000"/>
          <w:sz w:val="28"/>
          <w:szCs w:val="28"/>
        </w:rPr>
        <w:t>лению в аренду;</w:t>
      </w:r>
    </w:p>
    <w:p w:rsidR="00204839" w:rsidRDefault="006456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своевременной подготовки документов в судебные органы по взысканию задолженности и привлечению к ответственности неплательщиков по арендным платежам за пользование муниципальным имуществом в местный бюджет;</w:t>
      </w:r>
    </w:p>
    <w:p w:rsidR="00204839" w:rsidRDefault="006456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работой межведомственной коми</w:t>
      </w:r>
      <w:r>
        <w:rPr>
          <w:sz w:val="28"/>
          <w:szCs w:val="28"/>
        </w:rPr>
        <w:t>ссии при мэрии города Магадана по рассмотрению вопросов легализации объектов налогообложения по повышению доходной части местного бюджета при проведении согласованных действий органов местного самоуправления с органами исполнительной государственной власти</w:t>
      </w:r>
      <w:r>
        <w:rPr>
          <w:sz w:val="28"/>
          <w:szCs w:val="28"/>
        </w:rPr>
        <w:t xml:space="preserve"> Магаданской области, территориальными подразделениями федеральных органов исполнительной власти по мобилизации доходов в бюджет муниципального образования, с </w:t>
      </w:r>
      <w:r>
        <w:rPr>
          <w:sz w:val="28"/>
          <w:szCs w:val="28"/>
        </w:rPr>
        <w:lastRenderedPageBreak/>
        <w:t xml:space="preserve">целью максимального сокращения недоимки и увеличения налогооблагаемой базы; </w:t>
      </w:r>
    </w:p>
    <w:p w:rsidR="00204839" w:rsidRDefault="006456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создания условий д</w:t>
      </w:r>
      <w:r>
        <w:rPr>
          <w:sz w:val="28"/>
          <w:szCs w:val="28"/>
        </w:rPr>
        <w:t xml:space="preserve">ля устойчивого экономического роста через поддержку малого и среднего предпринимательства, развитие информационной среды для предпринимателей и формирование положительного имиджа предпринимателя среди населения; </w:t>
      </w:r>
    </w:p>
    <w:p w:rsidR="00204839" w:rsidRDefault="006456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осуществления взаимодействия с органами г</w:t>
      </w:r>
      <w:r>
        <w:rPr>
          <w:sz w:val="28"/>
          <w:szCs w:val="28"/>
        </w:rPr>
        <w:t>осударственной власти Магаданской области по вопросам своевременного и полного доведения межбюджетных трансфертов, направляемых на финансовое обеспечение вопросов местного значения, в том числе в рамках реализации мероприятий государственных программ Росси</w:t>
      </w:r>
      <w:r>
        <w:rPr>
          <w:sz w:val="28"/>
          <w:szCs w:val="28"/>
        </w:rPr>
        <w:t>йской Федерации и Магаданской области;</w:t>
      </w:r>
    </w:p>
    <w:p w:rsidR="00204839" w:rsidRDefault="006456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повышения ответственности главных распорядителей бюджетных средств, при планировании бюджетных ассигнований, исходя из обоснованности и необходимости полного исполнения принятых бюджетных обязательств; </w:t>
      </w:r>
    </w:p>
    <w:p w:rsidR="00204839" w:rsidRDefault="006456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проведения</w:t>
      </w:r>
      <w:r>
        <w:rPr>
          <w:sz w:val="28"/>
          <w:szCs w:val="28"/>
        </w:rPr>
        <w:t xml:space="preserve"> мониторинга использования бюджетных средств главными распорядителями бюджетных средств муниципального образования «Город Магадан» и, в случае необходимости, оперативного перераспределения внутренних ресурсов и направления бюджетных ассигнований на приорит</w:t>
      </w:r>
      <w:r>
        <w:rPr>
          <w:sz w:val="28"/>
          <w:szCs w:val="28"/>
        </w:rPr>
        <w:t>етные, требующие незамедлительного исполнения бюджета расходы.</w:t>
      </w:r>
    </w:p>
    <w:p w:rsidR="00204839" w:rsidRDefault="006456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как и прежде, необходимо обеспечение прозрачности (открытости), понятности и доступности бюджета и бюджетного процесса для населения муниципального образования «Город Магадан», разм</w:t>
      </w:r>
      <w:r>
        <w:rPr>
          <w:sz w:val="28"/>
          <w:szCs w:val="28"/>
        </w:rPr>
        <w:t>ещение и поддержание в актуальном состоянии бюджетных данных о формировании и исполнении местного бюджета на Едином портале бюджетной системы Российской Федерации «Электронный бюджет».</w:t>
      </w:r>
    </w:p>
    <w:p w:rsidR="00204839" w:rsidRDefault="006456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проведения бюджетной и налоговой политики должно стать полное исполнение принятых расходных обязательств с целью </w:t>
      </w:r>
      <w:r>
        <w:rPr>
          <w:sz w:val="28"/>
          <w:szCs w:val="28"/>
        </w:rPr>
        <w:lastRenderedPageBreak/>
        <w:t xml:space="preserve">повышения уровня и качества жизни жителей города при постепенном снижении долговой нагрузки и сохранении стабильности бюджета. </w:t>
      </w:r>
    </w:p>
    <w:p w:rsidR="00204839" w:rsidRDefault="00204839">
      <w:pPr>
        <w:pStyle w:val="afc"/>
        <w:spacing w:line="360" w:lineRule="auto"/>
        <w:ind w:firstLine="708"/>
        <w:rPr>
          <w:b/>
        </w:rPr>
      </w:pPr>
    </w:p>
    <w:p w:rsidR="00204839" w:rsidRDefault="0064567B">
      <w:pPr>
        <w:pStyle w:val="afc"/>
        <w:tabs>
          <w:tab w:val="left" w:pos="1620"/>
          <w:tab w:val="left" w:pos="1800"/>
        </w:tabs>
        <w:ind w:firstLine="720"/>
      </w:pPr>
      <w:r>
        <w:t xml:space="preserve">  </w:t>
      </w:r>
      <w:r>
        <w:t xml:space="preserve">                                     ____________</w:t>
      </w:r>
    </w:p>
    <w:sectPr w:rsidR="00204839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67B" w:rsidRDefault="0064567B">
      <w:r>
        <w:separator/>
      </w:r>
    </w:p>
  </w:endnote>
  <w:endnote w:type="continuationSeparator" w:id="0">
    <w:p w:rsidR="0064567B" w:rsidRDefault="0064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39" w:rsidRDefault="0064567B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04839" w:rsidRDefault="00204839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39" w:rsidRDefault="00204839">
    <w:pPr>
      <w:pStyle w:val="ad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67B" w:rsidRDefault="0064567B">
      <w:r>
        <w:separator/>
      </w:r>
    </w:p>
  </w:footnote>
  <w:footnote w:type="continuationSeparator" w:id="0">
    <w:p w:rsidR="0064567B" w:rsidRDefault="0064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39" w:rsidRDefault="0064567B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DE2AF8">
      <w:rPr>
        <w:noProof/>
      </w:rPr>
      <w:t>2</w:t>
    </w:r>
    <w:r>
      <w:fldChar w:fldCharType="end"/>
    </w:r>
  </w:p>
  <w:p w:rsidR="00204839" w:rsidRDefault="0020483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39" w:rsidRDefault="00204839">
    <w:pPr>
      <w:pStyle w:val="ab"/>
      <w:jc w:val="center"/>
    </w:pPr>
  </w:p>
  <w:p w:rsidR="00204839" w:rsidRDefault="0020483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043D1"/>
    <w:multiLevelType w:val="hybridMultilevel"/>
    <w:tmpl w:val="DF8469B8"/>
    <w:lvl w:ilvl="0" w:tplc="352070F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8E69DB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BAE045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D1EBFF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C04629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0C6CD7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DAAE7D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A84FF2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CA2AE4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E854FF2"/>
    <w:multiLevelType w:val="hybridMultilevel"/>
    <w:tmpl w:val="84EE2F36"/>
    <w:lvl w:ilvl="0" w:tplc="8FF42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624A6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8829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341E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0412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2E11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AAF7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DC0A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B4C0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F6455FD"/>
    <w:multiLevelType w:val="hybridMultilevel"/>
    <w:tmpl w:val="36E41776"/>
    <w:lvl w:ilvl="0" w:tplc="8B62B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630A4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BC05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0E4A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E03B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7291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C63B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3C36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A420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FB86B58"/>
    <w:multiLevelType w:val="hybridMultilevel"/>
    <w:tmpl w:val="D5D86C9A"/>
    <w:lvl w:ilvl="0" w:tplc="F14821C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2C6C9B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6B2A24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764E5F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AB019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54685A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282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AD8E6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1EBA8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DAC3E83"/>
    <w:multiLevelType w:val="hybridMultilevel"/>
    <w:tmpl w:val="E9981FF2"/>
    <w:lvl w:ilvl="0" w:tplc="E3E6B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430E6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2210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14BD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E029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B2F2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28C4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1AF1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E2E8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46F15FA2"/>
    <w:multiLevelType w:val="hybridMultilevel"/>
    <w:tmpl w:val="056A18D0"/>
    <w:lvl w:ilvl="0" w:tplc="29864F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50037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6610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5E01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10BC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DE82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8E07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B08B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AC26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A487623"/>
    <w:multiLevelType w:val="hybridMultilevel"/>
    <w:tmpl w:val="CDB6393A"/>
    <w:lvl w:ilvl="0" w:tplc="B5DE9B4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BA8FF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C6076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EC07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C42B5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1A8A8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A2F7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1C29B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836BF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E1123C2"/>
    <w:multiLevelType w:val="hybridMultilevel"/>
    <w:tmpl w:val="01AA1630"/>
    <w:lvl w:ilvl="0" w:tplc="8948FC84">
      <w:start w:val="1"/>
      <w:numFmt w:val="bullet"/>
      <w:lvlText w:val="-"/>
      <w:lvlJc w:val="left"/>
      <w:pPr>
        <w:tabs>
          <w:tab w:val="num" w:pos="1484"/>
        </w:tabs>
        <w:ind w:left="1484" w:hanging="945"/>
      </w:pPr>
      <w:rPr>
        <w:rFonts w:ascii="Times New Roman" w:eastAsia="Times New Roman" w:hAnsi="Times New Roman"/>
      </w:rPr>
    </w:lvl>
    <w:lvl w:ilvl="1" w:tplc="F27870FA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/>
      </w:rPr>
    </w:lvl>
    <w:lvl w:ilvl="2" w:tplc="C7BE8002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/>
      </w:rPr>
    </w:lvl>
    <w:lvl w:ilvl="3" w:tplc="54B067E0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/>
      </w:rPr>
    </w:lvl>
    <w:lvl w:ilvl="4" w:tplc="63089DB4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/>
      </w:rPr>
    </w:lvl>
    <w:lvl w:ilvl="5" w:tplc="6B6EFCFC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/>
      </w:rPr>
    </w:lvl>
    <w:lvl w:ilvl="6" w:tplc="1AE87E18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/>
      </w:rPr>
    </w:lvl>
    <w:lvl w:ilvl="7" w:tplc="E738F2FA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/>
      </w:rPr>
    </w:lvl>
    <w:lvl w:ilvl="8" w:tplc="F312961E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/>
      </w:rPr>
    </w:lvl>
  </w:abstractNum>
  <w:abstractNum w:abstractNumId="8" w15:restartNumberingAfterBreak="0">
    <w:nsid w:val="4EC51ED1"/>
    <w:multiLevelType w:val="hybridMultilevel"/>
    <w:tmpl w:val="C8F64060"/>
    <w:lvl w:ilvl="0" w:tplc="0DC23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C9660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E84D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EC87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CCAD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EAE5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A86F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26C5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50B9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5AD15B89"/>
    <w:multiLevelType w:val="hybridMultilevel"/>
    <w:tmpl w:val="C9EA8BEA"/>
    <w:lvl w:ilvl="0" w:tplc="0CE86512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D7FED1AE">
      <w:start w:val="1"/>
      <w:numFmt w:val="lowerLetter"/>
      <w:lvlText w:val="%2."/>
      <w:lvlJc w:val="left"/>
      <w:pPr>
        <w:ind w:left="1440" w:hanging="360"/>
      </w:pPr>
    </w:lvl>
    <w:lvl w:ilvl="2" w:tplc="8FE6039C">
      <w:start w:val="1"/>
      <w:numFmt w:val="lowerRoman"/>
      <w:lvlText w:val="%3."/>
      <w:lvlJc w:val="right"/>
      <w:pPr>
        <w:ind w:left="2160" w:hanging="180"/>
      </w:pPr>
    </w:lvl>
    <w:lvl w:ilvl="3" w:tplc="CC58D5F2">
      <w:start w:val="1"/>
      <w:numFmt w:val="decimal"/>
      <w:lvlText w:val="%4."/>
      <w:lvlJc w:val="left"/>
      <w:pPr>
        <w:ind w:left="2880" w:hanging="360"/>
      </w:pPr>
    </w:lvl>
    <w:lvl w:ilvl="4" w:tplc="5A142EFE">
      <w:start w:val="1"/>
      <w:numFmt w:val="lowerLetter"/>
      <w:lvlText w:val="%5."/>
      <w:lvlJc w:val="left"/>
      <w:pPr>
        <w:ind w:left="3600" w:hanging="360"/>
      </w:pPr>
    </w:lvl>
    <w:lvl w:ilvl="5" w:tplc="25C0A6EC">
      <w:start w:val="1"/>
      <w:numFmt w:val="lowerRoman"/>
      <w:lvlText w:val="%6."/>
      <w:lvlJc w:val="right"/>
      <w:pPr>
        <w:ind w:left="4320" w:hanging="180"/>
      </w:pPr>
    </w:lvl>
    <w:lvl w:ilvl="6" w:tplc="332EB1E6">
      <w:start w:val="1"/>
      <w:numFmt w:val="decimal"/>
      <w:lvlText w:val="%7."/>
      <w:lvlJc w:val="left"/>
      <w:pPr>
        <w:ind w:left="5040" w:hanging="360"/>
      </w:pPr>
    </w:lvl>
    <w:lvl w:ilvl="7" w:tplc="728A7B9E">
      <w:start w:val="1"/>
      <w:numFmt w:val="lowerLetter"/>
      <w:lvlText w:val="%8."/>
      <w:lvlJc w:val="left"/>
      <w:pPr>
        <w:ind w:left="5760" w:hanging="360"/>
      </w:pPr>
    </w:lvl>
    <w:lvl w:ilvl="8" w:tplc="F7AACD1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32BD2"/>
    <w:multiLevelType w:val="hybridMultilevel"/>
    <w:tmpl w:val="AE6272C2"/>
    <w:lvl w:ilvl="0" w:tplc="1B44785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2D50E2FC">
      <w:start w:val="1"/>
      <w:numFmt w:val="lowerLetter"/>
      <w:lvlText w:val="%2."/>
      <w:lvlJc w:val="left"/>
      <w:pPr>
        <w:ind w:left="1789" w:hanging="360"/>
      </w:pPr>
    </w:lvl>
    <w:lvl w:ilvl="2" w:tplc="720CD632">
      <w:start w:val="1"/>
      <w:numFmt w:val="lowerRoman"/>
      <w:lvlText w:val="%3."/>
      <w:lvlJc w:val="right"/>
      <w:pPr>
        <w:ind w:left="2509" w:hanging="180"/>
      </w:pPr>
    </w:lvl>
    <w:lvl w:ilvl="3" w:tplc="C1849E30">
      <w:start w:val="1"/>
      <w:numFmt w:val="decimal"/>
      <w:lvlText w:val="%4."/>
      <w:lvlJc w:val="left"/>
      <w:pPr>
        <w:ind w:left="3229" w:hanging="360"/>
      </w:pPr>
    </w:lvl>
    <w:lvl w:ilvl="4" w:tplc="30A8FD74">
      <w:start w:val="1"/>
      <w:numFmt w:val="lowerLetter"/>
      <w:lvlText w:val="%5."/>
      <w:lvlJc w:val="left"/>
      <w:pPr>
        <w:ind w:left="3949" w:hanging="360"/>
      </w:pPr>
    </w:lvl>
    <w:lvl w:ilvl="5" w:tplc="FAB0FAE2">
      <w:start w:val="1"/>
      <w:numFmt w:val="lowerRoman"/>
      <w:lvlText w:val="%6."/>
      <w:lvlJc w:val="right"/>
      <w:pPr>
        <w:ind w:left="4669" w:hanging="180"/>
      </w:pPr>
    </w:lvl>
    <w:lvl w:ilvl="6" w:tplc="399EB962">
      <w:start w:val="1"/>
      <w:numFmt w:val="decimal"/>
      <w:lvlText w:val="%7."/>
      <w:lvlJc w:val="left"/>
      <w:pPr>
        <w:ind w:left="5389" w:hanging="360"/>
      </w:pPr>
    </w:lvl>
    <w:lvl w:ilvl="7" w:tplc="87BE02AC">
      <w:start w:val="1"/>
      <w:numFmt w:val="lowerLetter"/>
      <w:lvlText w:val="%8."/>
      <w:lvlJc w:val="left"/>
      <w:pPr>
        <w:ind w:left="6109" w:hanging="360"/>
      </w:pPr>
    </w:lvl>
    <w:lvl w:ilvl="8" w:tplc="D4707D70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BD19F4"/>
    <w:multiLevelType w:val="hybridMultilevel"/>
    <w:tmpl w:val="DB9C878C"/>
    <w:lvl w:ilvl="0" w:tplc="9D44C3A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39A5E2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4A74A98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296A12F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D30E3AE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E94811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50CBA1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1A30F51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E04ECE6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52E74A9"/>
    <w:multiLevelType w:val="hybridMultilevel"/>
    <w:tmpl w:val="B04271CE"/>
    <w:lvl w:ilvl="0" w:tplc="483EC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C66BE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DA26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845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E16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D6C9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762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4B3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7AD6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C42CE3"/>
    <w:multiLevelType w:val="hybridMultilevel"/>
    <w:tmpl w:val="7F9AAC3C"/>
    <w:lvl w:ilvl="0" w:tplc="F68AA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C3AF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10F9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A210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B8ED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005B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CACF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3269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3276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771A7294"/>
    <w:multiLevelType w:val="hybridMultilevel"/>
    <w:tmpl w:val="D9A4F474"/>
    <w:lvl w:ilvl="0" w:tplc="CC64C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3A8D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6099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7A23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A2A9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7C94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70C9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0A41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26AA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14"/>
  </w:num>
  <w:num w:numId="8">
    <w:abstractNumId w:val="12"/>
  </w:num>
  <w:num w:numId="9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839"/>
    <w:rsid w:val="00204839"/>
    <w:rsid w:val="0064567B"/>
    <w:rsid w:val="00DE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823E9-81F2-4426-A010-E88BA141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i/>
      <w:iCs/>
      <w:sz w:val="22"/>
      <w:szCs w:val="20"/>
    </w:rPr>
  </w:style>
  <w:style w:type="paragraph" w:styleId="2">
    <w:name w:val="heading 2"/>
    <w:basedOn w:val="a"/>
    <w:next w:val="a"/>
    <w:link w:val="20"/>
    <w:pPr>
      <w:keepNext/>
      <w:jc w:val="both"/>
      <w:outlineLvl w:val="1"/>
    </w:pPr>
    <w:rPr>
      <w:i/>
      <w:iCs/>
      <w:sz w:val="22"/>
      <w:szCs w:val="20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pacing w:val="20"/>
      <w:sz w:val="36"/>
    </w:rPr>
  </w:style>
  <w:style w:type="paragraph" w:styleId="4">
    <w:name w:val="heading 4"/>
    <w:basedOn w:val="a"/>
    <w:next w:val="a"/>
    <w:link w:val="40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widowControl w:val="0"/>
      <w:tabs>
        <w:tab w:val="center" w:pos="4536"/>
        <w:tab w:val="right" w:pos="9072"/>
      </w:tabs>
    </w:pPr>
    <w:rPr>
      <w:rFonts w:ascii="Bodoni" w:hAnsi="Bodoni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link w:val="34"/>
    <w:pPr>
      <w:ind w:left="142"/>
      <w:jc w:val="both"/>
    </w:pPr>
    <w:rPr>
      <w:sz w:val="28"/>
      <w:szCs w:val="20"/>
    </w:rPr>
  </w:style>
  <w:style w:type="paragraph" w:styleId="35">
    <w:name w:val="Body Text 3"/>
    <w:basedOn w:val="a"/>
    <w:pPr>
      <w:jc w:val="both"/>
    </w:pPr>
    <w:rPr>
      <w:sz w:val="28"/>
      <w:szCs w:val="20"/>
    </w:rPr>
  </w:style>
  <w:style w:type="paragraph" w:styleId="afa">
    <w:name w:val="Body Text Indent"/>
    <w:basedOn w:val="a"/>
    <w:pPr>
      <w:ind w:firstLine="720"/>
      <w:jc w:val="both"/>
    </w:pPr>
    <w:rPr>
      <w:sz w:val="28"/>
    </w:rPr>
  </w:style>
  <w:style w:type="character" w:styleId="afb">
    <w:name w:val="page number"/>
    <w:basedOn w:val="a0"/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</w:rPr>
  </w:style>
  <w:style w:type="paragraph" w:styleId="afc">
    <w:name w:val="Body Text"/>
    <w:basedOn w:val="a"/>
    <w:pPr>
      <w:jc w:val="both"/>
    </w:pPr>
    <w:rPr>
      <w:sz w:val="28"/>
      <w:szCs w:val="20"/>
    </w:rPr>
  </w:style>
  <w:style w:type="paragraph" w:styleId="25">
    <w:name w:val="Body Text 2"/>
    <w:basedOn w:val="a"/>
    <w:pPr>
      <w:spacing w:line="360" w:lineRule="auto"/>
      <w:jc w:val="both"/>
    </w:pPr>
    <w:rPr>
      <w:szCs w:val="20"/>
    </w:rPr>
  </w:style>
  <w:style w:type="paragraph" w:styleId="26">
    <w:name w:val="Body Text Indent 2"/>
    <w:basedOn w:val="a"/>
    <w:pPr>
      <w:ind w:firstLine="709"/>
      <w:jc w:val="center"/>
    </w:pPr>
    <w:rPr>
      <w:b/>
      <w:bCs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rPr>
      <w:rFonts w:ascii="Tahoma" w:hAnsi="Tahoma"/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ac">
    <w:name w:val="Верхний колонтитул Знак"/>
    <w:link w:val="ab"/>
    <w:rPr>
      <w:rFonts w:ascii="Bodoni" w:hAnsi="Bodoni"/>
      <w:sz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f">
    <w:name w:val="Normal (Web)"/>
    <w:basedOn w:val="a"/>
    <w:pPr>
      <w:spacing w:before="100" w:beforeAutospacing="1" w:after="100" w:afterAutospacing="1"/>
    </w:pPr>
  </w:style>
  <w:style w:type="character" w:styleId="aff0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1238</Words>
  <Characters>7058</Characters>
  <Application>Microsoft Office Word</Application>
  <DocSecurity>0</DocSecurity>
  <Lines>58</Lines>
  <Paragraphs>16</Paragraphs>
  <ScaleCrop>false</ScaleCrop>
  <Company>Мэрия г. Магадана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Маслова Диана Евгеньевна</cp:lastModifiedBy>
  <cp:revision>20</cp:revision>
  <dcterms:created xsi:type="dcterms:W3CDTF">2025-10-24T00:08:00Z</dcterms:created>
  <dcterms:modified xsi:type="dcterms:W3CDTF">2025-10-24T00:09:00Z</dcterms:modified>
</cp:coreProperties>
</file>