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9B" w:rsidRDefault="00526CA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ПРИЛОЖЕНИЕ № 1</w:t>
      </w:r>
    </w:p>
    <w:p w:rsidR="0009459B" w:rsidRDefault="00526CA3">
      <w:pPr>
        <w:pStyle w:val="ConsPlusNormal"/>
        <w:ind w:left="566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УТВЕРЖДЕН</w:t>
      </w:r>
    </w:p>
    <w:p w:rsidR="0009459B" w:rsidRDefault="00526CA3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постановлением мэрии</w:t>
      </w:r>
    </w:p>
    <w:p w:rsidR="0009459B" w:rsidRDefault="00526CA3">
      <w:pPr>
        <w:pStyle w:val="ConsPlusNormal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города Магадана</w:t>
      </w:r>
    </w:p>
    <w:p w:rsidR="0009459B" w:rsidRDefault="0062171B">
      <w:pPr>
        <w:pStyle w:val="ConsPlusNormal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1B">
        <w:rPr>
          <w:rFonts w:ascii="Times New Roman" w:hAnsi="Times New Roman" w:cs="Times New Roman"/>
          <w:b/>
          <w:sz w:val="28"/>
          <w:szCs w:val="28"/>
        </w:rPr>
        <w:t>от 28.10.2025 г.  № 4254-пм</w:t>
      </w:r>
      <w:bookmarkStart w:id="0" w:name="_GoBack"/>
      <w:bookmarkEnd w:id="0"/>
    </w:p>
    <w:p w:rsidR="0009459B" w:rsidRDefault="0009459B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459B" w:rsidRDefault="0009459B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459B" w:rsidRDefault="00526CA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09459B" w:rsidRDefault="00526CA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ГЛАВНЫХ АДМИНИСТРАТОРОВ ДОХОДОВ БЮДЖЕТА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МУНИЦИПАЛЬНОГО ОБРАЗОВАНИЯ «ГОРОД МАГАДАН»</w:t>
      </w:r>
    </w:p>
    <w:p w:rsidR="0009459B" w:rsidRDefault="0009459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67"/>
        <w:gridCol w:w="2501"/>
        <w:gridCol w:w="3621"/>
      </w:tblGrid>
      <w:tr w:rsidR="0009459B">
        <w:tc>
          <w:tcPr>
            <w:tcW w:w="2947" w:type="dxa"/>
            <w:gridSpan w:val="2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администратор доходов областного, местного бюджета</w:t>
            </w:r>
          </w:p>
        </w:tc>
        <w:tc>
          <w:tcPr>
            <w:tcW w:w="6122" w:type="dxa"/>
            <w:gridSpan w:val="2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классификации доходов бюджетов Российской Федерации</w:t>
            </w:r>
          </w:p>
        </w:tc>
      </w:tr>
      <w:tr w:rsidR="0009459B">
        <w:tc>
          <w:tcPr>
            <w:tcW w:w="680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267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09459B">
        <w:tc>
          <w:tcPr>
            <w:tcW w:w="680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Мэрия </w:t>
            </w:r>
            <w:r>
              <w:rPr>
                <w:rFonts w:ascii="Times New Roman" w:hAnsi="Times New Roman" w:cs="Times New Roman"/>
              </w:rPr>
              <w:br/>
              <w:t>города Магадана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1 13 02064 04 0000 130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9459B">
        <w:trPr>
          <w:trHeight w:val="491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1 16 01193 01 0000 140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Административные штрафы, установленные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hyperlink r:id="rId6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Коде</w:t>
            </w:r>
            <w:r>
              <w:rPr>
                <w:rFonts w:ascii="Times New Roman" w:hAnsi="Times New Roman" w:cs="Times New Roman"/>
                <w:szCs w:val="22"/>
              </w:rPr>
              <w:t>кса Российской Федерации об административных правонарушениях, за административные правонарушения против порядка управ</w:t>
            </w:r>
            <w:r>
              <w:rPr>
                <w:rFonts w:ascii="Times New Roman" w:hAnsi="Times New Roman" w:cs="Times New Roman"/>
                <w:szCs w:val="22"/>
              </w:rPr>
              <w:t>ления, налагаемые мировыми судьями, комиссиями по делам несовершеннолетних и защите их прав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1 16 07010 04 0000 140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9459B">
        <w:trPr>
          <w:trHeight w:val="491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1 16 10123 01 0000 140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1 17 05040 04 0000 180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неналоговые доходы бюджетов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2 18 04010 04 0000 150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9459B">
        <w:tc>
          <w:tcPr>
            <w:tcW w:w="680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Магаданская городская Дума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1 16 07010 04 0000 140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c>
          <w:tcPr>
            <w:tcW w:w="680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</w:t>
            </w:r>
            <w:r>
              <w:rPr>
                <w:rFonts w:ascii="Times New Roman" w:hAnsi="Times New Roman" w:cs="Times New Roman"/>
              </w:rPr>
              <w:br/>
              <w:t xml:space="preserve">по финансам мэрии </w:t>
            </w:r>
            <w:r>
              <w:rPr>
                <w:rFonts w:ascii="Times New Roman" w:hAnsi="Times New Roman" w:cs="Times New Roman"/>
              </w:rPr>
              <w:br/>
              <w:t>города Магадана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9459B">
        <w:trPr>
          <w:trHeight w:val="253"/>
        </w:trPr>
        <w:tc>
          <w:tcPr>
            <w:tcW w:w="680" w:type="dxa"/>
            <w:vMerge/>
          </w:tcPr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1 16 01194 01 0000 140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1 16 10030 04 0000 140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</w:t>
            </w:r>
            <w:r>
              <w:rPr>
                <w:rFonts w:ascii="Times New Roman" w:hAnsi="Times New Roman" w:cs="Times New Roman"/>
              </w:rPr>
              <w:t>тономными) учреждениями, унитарными предприятиями)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1 16 07010 04 0000 140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Штрафы, неустойки, пени, уплаченные в случае просрочки исполнения поставщиком (подрядчиком, исполнителем) </w:t>
            </w:r>
            <w:r>
              <w:rPr>
                <w:rFonts w:ascii="Times New Roman" w:hAnsi="Times New Roman" w:cs="Times New Roman"/>
              </w:rPr>
              <w:lastRenderedPageBreak/>
              <w:t>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1 16 07090 04 000</w:t>
            </w:r>
            <w:r>
              <w:rPr>
                <w:rFonts w:ascii="Times New Roman" w:hAnsi="Times New Roman" w:cs="Times New Roman"/>
              </w:rPr>
              <w:t>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1 17 01040 04 0000 </w:t>
            </w: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1 17 05040 04 0000 180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неналоговые доходы бюджетов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1 18 01410 04 0000 150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2 02 15001 04 0000 150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городских округов на выравнивание бюджетной обеспеченности из </w:t>
            </w:r>
            <w:r>
              <w:rPr>
                <w:rFonts w:ascii="Times New Roman" w:hAnsi="Times New Roman" w:cs="Times New Roman"/>
              </w:rPr>
              <w:t>бюджета субъекта Российской Федерации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2 02 15002 04 0000 150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09459B">
        <w:trPr>
          <w:trHeight w:val="491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2 02 15399 04 0000 150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Дотации бюджетам городских округов на премирование победителей Всероссийского конкурса «Лучшая муниципальная практика»</w:t>
            </w:r>
          </w:p>
        </w:tc>
      </w:tr>
      <w:tr w:rsidR="0009459B">
        <w:trPr>
          <w:trHeight w:val="491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2 02 16549 04 0000 150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Дотации (гранты) бюджетам городских округов за достижение показателей деятельности органов местного самоуправле</w:t>
            </w:r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ния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2 02 19999 04 0000 150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дотации бюджетам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бюджетной системы Российской Федерации (межбюджетные субсидии) </w:t>
            </w:r>
            <w:hyperlink w:anchor="P883" w:tooltip="#P883" w:history="1">
              <w:r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2 02 30000 00 0000 150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бюджетам бюджетной системы Российской Федерации </w:t>
            </w:r>
            <w:hyperlink w:anchor="P883" w:tooltip="#P883" w:history="1">
              <w:r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2 02 40000 00 0000 150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межбюджетные трансферты </w:t>
            </w:r>
            <w:hyperlink w:anchor="P883" w:tooltip="#P883" w:history="1">
              <w:r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2 02 90000 00 0000 150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безвозмездные поступления от д</w:t>
            </w:r>
            <w:r>
              <w:rPr>
                <w:rFonts w:ascii="Times New Roman" w:hAnsi="Times New Roman" w:cs="Times New Roman"/>
              </w:rPr>
              <w:t xml:space="preserve">ругих бюджетов бюджетной системы </w:t>
            </w:r>
            <w:hyperlink w:anchor="P883" w:tooltip="#P883" w:history="1">
              <w:r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2 03 04000 04 0000 150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Безвозмездные поступления от государственных (муниципальных) организаций в бюджеты городских округов </w:t>
            </w:r>
            <w:hyperlink w:anchor="P883" w:tooltip="#P883" w:history="1">
              <w:r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tbl>
            <w:tblPr>
              <w:tblW w:w="3345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5"/>
            </w:tblGrid>
            <w:tr w:rsidR="0009459B">
              <w:tc>
                <w:tcPr>
                  <w:tcW w:w="3345" w:type="dxa"/>
                </w:tcPr>
                <w:p w:rsidR="0009459B" w:rsidRDefault="00526CA3" w:rsidP="0062171B">
                  <w:pPr>
                    <w:pStyle w:val="ConsPlusNormal"/>
                    <w:framePr w:hSpace="180" w:wrap="around" w:vAnchor="text" w:hAnchor="text" w:y="1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2 08 04000 04 0000 150</w:t>
                  </w:r>
                </w:p>
              </w:tc>
            </w:tr>
          </w:tbl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Перечисления из бюджетов городских округов (в бюджеты гор</w:t>
            </w:r>
            <w:r>
              <w:rPr>
                <w:rFonts w:ascii="Times New Roman" w:hAnsi="Times New Roman" w:cs="Times New Roman"/>
              </w:rPr>
              <w:t>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2 08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2 18 04000 04 0000 150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бюджетов городских округов от возврата организациями остатков субсидий прошлых лет    </w:t>
            </w:r>
            <w:hyperlink w:anchor="P883" w:tooltip="#P883" w:history="1">
              <w:r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2 18 60020 04 0000 150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</w:t>
            </w:r>
            <w:r>
              <w:rPr>
                <w:rFonts w:ascii="Times New Roman" w:hAnsi="Times New Roman" w:cs="Times New Roman"/>
              </w:rPr>
              <w:t>дов</w:t>
            </w:r>
          </w:p>
        </w:tc>
      </w:tr>
      <w:tr w:rsidR="0009459B">
        <w:tc>
          <w:tcPr>
            <w:tcW w:w="680" w:type="dxa"/>
            <w:vMerge w:val="restart"/>
          </w:tcPr>
          <w:p w:rsidR="0009459B" w:rsidRDefault="00526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строительства, архитектуры, технического и экологического контроля мэрии города Магадана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1 08 07150 01 0000 110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9459B">
        <w:trPr>
          <w:trHeight w:val="491"/>
        </w:trPr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1 11 05410 04 0000 120</w:t>
            </w:r>
          </w:p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</w:t>
            </w:r>
            <w:r>
              <w:rPr>
                <w:rFonts w:ascii="Times New Roman" w:hAnsi="Times New Roman" w:cs="Times New Roman"/>
              </w:rPr>
              <w:lastRenderedPageBreak/>
              <w:t>которые не разграничена и которые расположены в границах городских округов и н</w:t>
            </w:r>
            <w:r>
              <w:rPr>
                <w:rFonts w:ascii="Times New Roman" w:hAnsi="Times New Roman" w:cs="Times New Roman"/>
              </w:rPr>
              <w:t>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</w:t>
            </w:r>
            <w:r>
              <w:rPr>
                <w:rFonts w:ascii="Times New Roman" w:hAnsi="Times New Roman" w:cs="Times New Roman"/>
              </w:rPr>
              <w:t>ений)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1 11 05420 04 0000 120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</w:t>
            </w:r>
            <w:r>
              <w:rPr>
                <w:rFonts w:ascii="Times New Roman" w:hAnsi="Times New Roman" w:cs="Times New Roman"/>
              </w:rPr>
              <w:t>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09459B">
        <w:trPr>
          <w:trHeight w:val="491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1 13 01994 04 0000 130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1 13 02064 04 0000 130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9459B">
        <w:trPr>
          <w:trHeight w:val="491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1 14 02042 04 0000 410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vMerge w:val="restart"/>
          </w:tcPr>
          <w:p w:rsidR="0009459B" w:rsidRDefault="00526C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указанному имуществу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1 16 07010 04 0000 140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Штрафы, неустойки, пени, </w:t>
            </w:r>
            <w:r>
              <w:rPr>
                <w:rFonts w:ascii="Times New Roman" w:hAnsi="Times New Roman" w:cs="Times New Roman"/>
              </w:rPr>
              <w:lastRenderedPageBreak/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1 16 07090 04 000</w:t>
            </w:r>
            <w:r>
              <w:rPr>
                <w:rFonts w:ascii="Times New Roman" w:hAnsi="Times New Roman" w:cs="Times New Roman"/>
              </w:rPr>
              <w:t>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9459B">
        <w:trPr>
          <w:trHeight w:val="491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1 16 </w:t>
            </w:r>
            <w:r>
              <w:rPr>
                <w:rFonts w:ascii="Times New Roman" w:hAnsi="Times New Roman" w:cs="Times New Roman"/>
                <w:lang w:val="en-US"/>
              </w:rPr>
              <w:t>110</w:t>
            </w:r>
            <w:r>
              <w:rPr>
                <w:rFonts w:ascii="Times New Roman" w:hAnsi="Times New Roman" w:cs="Times New Roman"/>
              </w:rPr>
              <w:t>50 0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0000 </w:t>
            </w: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</w:t>
            </w:r>
            <w:r>
              <w:rPr>
                <w:rFonts w:ascii="Times New Roman" w:hAnsi="Times New Roman" w:cs="Times New Roman"/>
              </w:rPr>
              <w:t>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09459B">
        <w:trPr>
          <w:trHeight w:val="491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1 16 </w:t>
            </w:r>
            <w:r>
              <w:rPr>
                <w:rFonts w:ascii="Times New Roman" w:hAnsi="Times New Roman" w:cs="Times New Roman"/>
                <w:lang w:val="en-US"/>
              </w:rPr>
              <w:t>11064</w:t>
            </w:r>
            <w:r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Платежи, уплачиваемые в целях возмещения вреда, причиняемого автомобильным дорогам местного значения тяжеловесными тран</w:t>
            </w:r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спортными средствами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1 17 05040 04 0000 180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неналоговые доходы бюджетов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2 18 04010 04 0000 150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9459B">
        <w:trPr>
          <w:trHeight w:val="634"/>
        </w:trPr>
        <w:tc>
          <w:tcPr>
            <w:tcW w:w="680" w:type="dxa"/>
            <w:vMerge w:val="restart"/>
          </w:tcPr>
          <w:p w:rsidR="0009459B" w:rsidRDefault="00526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жилищно-коммунального хозяйства и коммунальной </w:t>
            </w:r>
            <w:r>
              <w:rPr>
                <w:rFonts w:ascii="Times New Roman" w:hAnsi="Times New Roman" w:cs="Times New Roman"/>
              </w:rPr>
              <w:lastRenderedPageBreak/>
              <w:t>инфраструктуры мэрии города Магадана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1 13 01994 04 0000 130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9459B">
        <w:trPr>
          <w:trHeight w:val="726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9459B">
        <w:trPr>
          <w:trHeight w:val="726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1 14 02042 04 0000 410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vMerge w:val="restart"/>
          </w:tcPr>
          <w:p w:rsidR="0009459B" w:rsidRDefault="00526C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указанному имуществу</w:t>
            </w:r>
          </w:p>
        </w:tc>
      </w:tr>
      <w:tr w:rsidR="0009459B">
        <w:trPr>
          <w:trHeight w:val="726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1 16 01194 01 0000 140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</w:t>
            </w:r>
            <w:r>
              <w:rPr>
                <w:rFonts w:ascii="Times New Roman" w:hAnsi="Times New Roman" w:cs="Times New Roman"/>
              </w:rPr>
              <w:t>рганов муниципального контроля</w:t>
            </w:r>
          </w:p>
        </w:tc>
      </w:tr>
      <w:tr w:rsidR="0009459B">
        <w:trPr>
          <w:trHeight w:val="726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1 16 07010 04 0000 140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9459B">
        <w:trPr>
          <w:trHeight w:val="726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1 16 07090 04 000</w:t>
            </w:r>
            <w:r>
              <w:rPr>
                <w:rFonts w:ascii="Times New Roman" w:hAnsi="Times New Roman" w:cs="Times New Roman"/>
              </w:rPr>
              <w:t>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9459B">
        <w:trPr>
          <w:trHeight w:val="726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1 16 10123 01 0000 140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9459B">
        <w:trPr>
          <w:trHeight w:val="726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1 16 1012</w:t>
            </w:r>
            <w:r>
              <w:rPr>
                <w:rFonts w:ascii="Times New Roman" w:hAnsi="Times New Roman" w:cs="Times New Roman"/>
              </w:rPr>
              <w:t>3 01 0041 140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по нормативам, действовавшим в 2019 году (доходы бюджетов горо</w:t>
            </w:r>
            <w:r>
              <w:rPr>
                <w:rFonts w:ascii="Times New Roman" w:hAnsi="Times New Roman" w:cs="Times New Roman"/>
              </w:rPr>
              <w:t>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9459B">
        <w:trPr>
          <w:trHeight w:val="974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highlight w:val="white"/>
              </w:rPr>
              <w:t>1 16 11 050 01 0000 140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highlight w:val="white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Cs w:val="22"/>
                <w:highlight w:val="white"/>
              </w:rPr>
              <w:t>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</w:t>
            </w:r>
            <w:r>
              <w:rPr>
                <w:rFonts w:ascii="Times New Roman" w:hAnsi="Times New Roman" w:cs="Times New Roman"/>
                <w:color w:val="000000"/>
                <w:szCs w:val="22"/>
                <w:highlight w:val="white"/>
              </w:rPr>
              <w:t xml:space="preserve">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</w:t>
            </w:r>
            <w:r>
              <w:rPr>
                <w:rFonts w:ascii="Times New Roman" w:hAnsi="Times New Roman" w:cs="Times New Roman"/>
                <w:color w:val="000000"/>
                <w:szCs w:val="22"/>
                <w:highlight w:val="white"/>
              </w:rPr>
              <w:t>оловства и среде их обитания), подлежащие зачислению в бюджет муниципального образования</w:t>
            </w:r>
          </w:p>
        </w:tc>
      </w:tr>
      <w:tr w:rsidR="0009459B">
        <w:trPr>
          <w:trHeight w:val="974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rPr>
          <w:trHeight w:val="655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1 17 05040 04 0000 180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неналоговые доходы бюджетов городских округов</w:t>
            </w:r>
          </w:p>
        </w:tc>
      </w:tr>
      <w:tr w:rsidR="0009459B">
        <w:trPr>
          <w:trHeight w:val="655"/>
        </w:trPr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2 18 04010 04 0000 150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9459B">
        <w:tc>
          <w:tcPr>
            <w:tcW w:w="680" w:type="dxa"/>
            <w:vMerge w:val="restart"/>
          </w:tcPr>
          <w:p w:rsidR="0009459B" w:rsidRDefault="00526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образования мэрии города Магадана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9459B">
        <w:trPr>
          <w:trHeight w:val="491"/>
        </w:trPr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1 13 </w:t>
            </w:r>
            <w:r>
              <w:rPr>
                <w:rFonts w:ascii="Times New Roman" w:hAnsi="Times New Roman" w:cs="Times New Roman"/>
                <w:lang w:val="en-US"/>
              </w:rPr>
              <w:t>01994</w:t>
            </w:r>
            <w:r>
              <w:rPr>
                <w:rFonts w:ascii="Times New Roman" w:hAnsi="Times New Roman" w:cs="Times New Roman"/>
              </w:rPr>
              <w:t xml:space="preserve"> 04 0000 130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  <w:p w:rsidR="0009459B" w:rsidRDefault="000945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1 16 07090 04 0000 140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штрафы, неустойки, пени, уплаченные 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>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</w:t>
            </w:r>
            <w:r>
              <w:rPr>
                <w:rFonts w:ascii="Times New Roman" w:hAnsi="Times New Roman" w:cs="Times New Roman"/>
              </w:rPr>
              <w:t>сударственной корпорацией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2 18 04010 04 0000 150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2 18 04020 04 0000 150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автономными  учреждениями остатков субсидий прошлых лет</w:t>
            </w:r>
          </w:p>
        </w:tc>
      </w:tr>
      <w:tr w:rsidR="0009459B">
        <w:trPr>
          <w:trHeight w:val="20"/>
        </w:trPr>
        <w:tc>
          <w:tcPr>
            <w:tcW w:w="680" w:type="dxa"/>
            <w:vMerge w:val="restart"/>
          </w:tcPr>
          <w:p w:rsidR="0009459B" w:rsidRDefault="00526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культуре, спорту и туризму мэрии города Магадана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</w:t>
            </w:r>
            <w:r>
              <w:rPr>
                <w:rFonts w:ascii="Times New Roman" w:hAnsi="Times New Roman" w:cs="Times New Roman"/>
              </w:rPr>
              <w:t>рат бюджетов городских округов</w:t>
            </w:r>
          </w:p>
        </w:tc>
      </w:tr>
      <w:tr w:rsidR="0009459B">
        <w:trPr>
          <w:trHeight w:val="20"/>
        </w:trPr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1 16 07010 04 0000 140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1 16 07090 </w:t>
            </w:r>
            <w:r>
              <w:rPr>
                <w:rFonts w:ascii="Times New Roman" w:hAnsi="Times New Roman" w:cs="Times New Roman"/>
              </w:rPr>
              <w:t>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2 18 04010 04 0000 150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бюджетными учреждениями остаток субсидий прошлых лет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2 18 04020 04 0000 150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бюджетов городских округов от возврата автономными  учреждениями остатков субсидий </w:t>
            </w:r>
            <w:r>
              <w:rPr>
                <w:rFonts w:ascii="Times New Roman" w:hAnsi="Times New Roman" w:cs="Times New Roman"/>
              </w:rPr>
              <w:lastRenderedPageBreak/>
              <w:t>прошлых лет</w:t>
            </w:r>
          </w:p>
        </w:tc>
      </w:tr>
      <w:tr w:rsidR="0009459B">
        <w:tc>
          <w:tcPr>
            <w:tcW w:w="680" w:type="dxa"/>
            <w:vMerge w:val="restart"/>
          </w:tcPr>
          <w:p w:rsidR="0009459B" w:rsidRDefault="00526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815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мэрии города Магадана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1 16 07010 04 0000 140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</w:t>
            </w:r>
            <w:r>
              <w:rPr>
                <w:rFonts w:ascii="Times New Roman" w:hAnsi="Times New Roman" w:cs="Times New Roman"/>
              </w:rPr>
              <w:t>га</w:t>
            </w:r>
          </w:p>
        </w:tc>
      </w:tr>
      <w:tr w:rsidR="0009459B">
        <w:trPr>
          <w:trHeight w:val="2164"/>
        </w:trPr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1 16 10032 04 0000 140</w:t>
            </w:r>
          </w:p>
        </w:tc>
        <w:tc>
          <w:tcPr>
            <w:tcW w:w="3621" w:type="dxa"/>
          </w:tcPr>
          <w:p w:rsidR="0009459B" w:rsidRDefault="00526C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 бюджетными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(автономными) учреждениями, унитарными предприятиями)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1 16 10100 04 0000 140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Невыясненные поступления, </w:t>
            </w:r>
            <w:r>
              <w:rPr>
                <w:rFonts w:ascii="Times New Roman" w:hAnsi="Times New Roman" w:cs="Times New Roman"/>
              </w:rPr>
              <w:t>зачисляемые в бюджеты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2 18 04010 04 0000 150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бюджетными учреждениями остаток субсидий прошлых лет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2 18 04020 04 0000 150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автономными  учреждениями остатков субсидий прошлых лет</w:t>
            </w:r>
          </w:p>
        </w:tc>
      </w:tr>
      <w:tr w:rsidR="0009459B">
        <w:tc>
          <w:tcPr>
            <w:tcW w:w="680" w:type="dxa"/>
            <w:vMerge w:val="restart"/>
          </w:tcPr>
          <w:p w:rsidR="0009459B" w:rsidRDefault="00526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делам молодежи и связям с общественностью мэрии города Магадана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</w:t>
            </w:r>
            <w:r>
              <w:rPr>
                <w:rFonts w:ascii="Times New Roman" w:hAnsi="Times New Roman" w:cs="Times New Roman"/>
              </w:rPr>
              <w:t>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2 18 04010 04 0000 150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бюджетными учреждениями остаток субсидий прошлых лет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2 18 04030 04 0000 150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09459B">
        <w:trPr>
          <w:trHeight w:val="509"/>
        </w:trPr>
        <w:tc>
          <w:tcPr>
            <w:tcW w:w="680" w:type="dxa"/>
            <w:vMerge w:val="restart"/>
          </w:tcPr>
          <w:p w:rsidR="0009459B" w:rsidRDefault="00526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/>
        </w:tc>
        <w:tc>
          <w:tcPr>
            <w:tcW w:w="2267" w:type="dxa"/>
            <w:vMerge w:val="restart"/>
          </w:tcPr>
          <w:p w:rsidR="0009459B" w:rsidRDefault="00526C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имущественных и жилищных отношений мэрии города Магадана</w:t>
            </w:r>
          </w:p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1 11 05012 04 0000 120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</w:t>
            </w:r>
            <w:r>
              <w:rPr>
                <w:rFonts w:ascii="Times New Roman" w:hAnsi="Times New Roman" w:cs="Times New Roman"/>
              </w:rPr>
              <w:t xml:space="preserve"> участков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1 11 05024 04 0000 120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</w:t>
            </w:r>
            <w:r>
              <w:rPr>
                <w:rFonts w:ascii="Times New Roman" w:hAnsi="Times New Roman" w:cs="Times New Roman"/>
              </w:rPr>
              <w:t>7014 04 0000 120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1 11 09044 04 0000 120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поступления от использования имущества, </w:t>
            </w:r>
            <w:r>
              <w:rPr>
                <w:rFonts w:ascii="Times New Roman" w:hAnsi="Times New Roman" w:cs="Times New Roman"/>
              </w:rPr>
              <w:t>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1 11 09080 04 0000 120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</w:t>
            </w:r>
            <w:r>
              <w:rPr>
                <w:rFonts w:ascii="Times New Roman" w:hAnsi="Times New Roman" w:cs="Times New Roman"/>
                <w:szCs w:val="22"/>
              </w:rPr>
              <w:t>а землях или земельных участках, государственная собственность на которые не разграничена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1 11 05034 04 0000 120</w:t>
            </w:r>
          </w:p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</w:t>
            </w:r>
            <w:r>
              <w:rPr>
                <w:rFonts w:ascii="Times New Roman" w:hAnsi="Times New Roman" w:cs="Times New Roman"/>
                <w:highlight w:val="white"/>
              </w:rPr>
              <w:t>за исключением имущества муниципальных бюджетных и автономных учреждений)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1 11 05410 04 0000 120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</w:t>
            </w:r>
            <w:r>
              <w:rPr>
                <w:rFonts w:ascii="Times New Roman" w:hAnsi="Times New Roman" w:cs="Times New Roman"/>
              </w:rPr>
              <w:t>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</w:t>
            </w:r>
            <w:r>
              <w:rPr>
                <w:rFonts w:ascii="Times New Roman" w:hAnsi="Times New Roman" w:cs="Times New Roman"/>
              </w:rPr>
              <w:t>дений)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1 11 05420 04 0000 120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</w:t>
            </w:r>
            <w:r>
              <w:rPr>
                <w:rFonts w:ascii="Times New Roman" w:hAnsi="Times New Roman" w:cs="Times New Roman"/>
              </w:rPr>
              <w:t>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1 13 02994 04 0000 </w:t>
            </w: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1 14 01040 04 0000 410</w:t>
            </w:r>
          </w:p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квартир, находящихся в собственности городских округов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1 14 02042 04 0000 410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реализации</w:t>
            </w:r>
            <w:r>
              <w:rPr>
                <w:rFonts w:ascii="Times New Roman" w:hAnsi="Times New Roman" w:cs="Times New Roman"/>
              </w:rPr>
              <w:t xml:space="preserve"> имущества, находящегося в оперативном управлении учреждений, находящихся в ведении органов </w:t>
            </w:r>
            <w:r>
              <w:rPr>
                <w:rFonts w:ascii="Times New Roman" w:hAnsi="Times New Roman" w:cs="Times New Roman"/>
              </w:rPr>
              <w:lastRenderedPageBreak/>
              <w:t>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1 14 02043 04 0000 410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>
              <w:rPr>
                <w:rFonts w:ascii="Times New Roman" w:hAnsi="Times New Roman" w:cs="Times New Roman"/>
              </w:rPr>
              <w:t>числе казенных), в части реализации основных средств по указанному имуществу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1 14 04040 04 0000 420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1 14 06012 04 0000 430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земельных участков, г</w:t>
            </w:r>
            <w:r>
              <w:rPr>
                <w:rFonts w:ascii="Times New Roman" w:hAnsi="Times New Roman" w:cs="Times New Roman"/>
              </w:rPr>
              <w:t>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1 14 06024 04 0000 430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1 15 02040 04 0000 140</w:t>
            </w:r>
          </w:p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Платежи, взимаемые органами местного самоуправления (организа</w:t>
            </w:r>
            <w:r>
              <w:rPr>
                <w:rFonts w:ascii="Times New Roman" w:hAnsi="Times New Roman" w:cs="Times New Roman"/>
              </w:rPr>
              <w:t>циями) городских округов за выполнение определенных функций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1 16 07010 04 0000 140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Штрафы, неустойки, пени, уплаченные в случае просрочки исполнения поставщиком (подрядчиком, исполнителем) </w:t>
            </w:r>
            <w:r>
              <w:rPr>
                <w:rFonts w:ascii="Times New Roman" w:hAnsi="Times New Roman" w:cs="Times New Roman"/>
              </w:rPr>
              <w:t>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1 16 07090 04 0000 140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штрафы, неустойки, пени, уплаченные в соответствии с законом или договором в случае </w:t>
            </w:r>
            <w:r>
              <w:rPr>
                <w:rFonts w:ascii="Times New Roman" w:hAnsi="Times New Roman" w:cs="Times New Roman"/>
              </w:rPr>
              <w:lastRenderedPageBreak/>
              <w:t>неисполнени</w:t>
            </w:r>
            <w:r>
              <w:rPr>
                <w:rFonts w:ascii="Times New Roman" w:hAnsi="Times New Roman" w:cs="Times New Roman"/>
              </w:rPr>
              <w:t>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1 16 09040 04 0000 140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Денежные средства, изымаемые в собственность внутригородского муниципального образования города федера</w:t>
            </w:r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льного значения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1 16 10030 04 0000 140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Платежи по искам о возмещен</w:t>
            </w:r>
            <w:r>
              <w:rPr>
                <w:rFonts w:ascii="Times New Roman" w:hAnsi="Times New Roman" w:cs="Times New Roman"/>
                <w:highlight w:val="white"/>
              </w:rPr>
              <w:t>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1 16 10032 04 0000 140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1 16 10061 04 0000 1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Платежи в целях</w:t>
            </w:r>
            <w:r>
              <w:rPr>
                <w:rFonts w:ascii="Times New Roman" w:hAnsi="Times New Roman" w:cs="Times New Roman"/>
              </w:rPr>
              <w:t xml:space="preserve">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</w:t>
            </w:r>
            <w:r>
              <w:rPr>
                <w:rFonts w:ascii="Times New Roman" w:hAnsi="Times New Roman" w:cs="Times New Roman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1 17 05040 04 0000 180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неналоговые доходы бюджетов городских округов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2 18 04010 04 0000 150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9459B">
        <w:trPr>
          <w:trHeight w:val="491"/>
        </w:trPr>
        <w:tc>
          <w:tcPr>
            <w:tcW w:w="680" w:type="dxa"/>
            <w:vMerge w:val="restart"/>
          </w:tcPr>
          <w:p w:rsidR="0009459B" w:rsidRDefault="00526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819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административно-технического контроля мэрии города Магадана</w:t>
            </w:r>
          </w:p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городских о</w:t>
            </w:r>
            <w:r>
              <w:rPr>
                <w:rFonts w:ascii="Times New Roman" w:hAnsi="Times New Roman" w:cs="Times New Roman"/>
              </w:rPr>
              <w:t>кругов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1 16 01194 01 0000 140</w:t>
            </w:r>
          </w:p>
          <w:p w:rsidR="0009459B" w:rsidRDefault="00094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</w:rPr>
              <w:t>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rPr>
          <w:trHeight w:val="509"/>
        </w:trPr>
        <w:tc>
          <w:tcPr>
            <w:tcW w:w="680" w:type="dxa"/>
            <w:vMerge/>
          </w:tcPr>
          <w:p w:rsidR="0009459B" w:rsidRDefault="0009459B"/>
        </w:tc>
        <w:tc>
          <w:tcPr>
            <w:tcW w:w="2267" w:type="dxa"/>
            <w:vMerge/>
          </w:tcPr>
          <w:p w:rsidR="0009459B" w:rsidRDefault="0009459B"/>
        </w:tc>
        <w:tc>
          <w:tcPr>
            <w:tcW w:w="2501" w:type="dxa"/>
            <w:vMerge w:val="restart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1 17 05040 04 0000 180</w:t>
            </w:r>
          </w:p>
        </w:tc>
        <w:tc>
          <w:tcPr>
            <w:tcW w:w="3621" w:type="dxa"/>
            <w:vMerge w:val="restart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неналоговые доходы бюджетов городских округов</w:t>
            </w:r>
          </w:p>
        </w:tc>
      </w:tr>
      <w:tr w:rsidR="0009459B">
        <w:tc>
          <w:tcPr>
            <w:tcW w:w="680" w:type="dxa"/>
            <w:vMerge w:val="restart"/>
          </w:tcPr>
          <w:p w:rsidR="0009459B" w:rsidRDefault="0052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2267" w:type="dxa"/>
            <w:vMerge w:val="restart"/>
          </w:tcPr>
          <w:p w:rsidR="0009459B" w:rsidRDefault="0052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палата муниципального образования «Город Магадан»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1 16 01154 01 0000 140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Административные штрафы, установленные </w:t>
            </w:r>
            <w:hyperlink r:id="rId7" w:anchor="/document/12125267/entry/150" w:tooltip="https://internet.garant.ru/#/document/12125267/entry/150" w:history="1">
              <w:r>
                <w:rPr>
                  <w:rStyle w:val="ae"/>
                  <w:rFonts w:ascii="Times New Roman" w:hAnsi="Times New Roman" w:cs="Times New Roman"/>
                  <w:color w:val="000000" w:themeColor="text1"/>
                  <w:szCs w:val="22"/>
                  <w:u w:val="none"/>
                </w:rPr>
                <w:t>главой 15</w:t>
              </w:r>
            </w:hyperlink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 Кодекса Российской Федерации об административных правонарушениях, з</w:t>
            </w:r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8" w:anchor="/document/12112604/entry/466" w:tooltip="https://internet.garant.ru/#/document/12112604/entry/466" w:history="1">
              <w:r>
                <w:rPr>
                  <w:rStyle w:val="ae"/>
                  <w:rFonts w:ascii="Times New Roman" w:hAnsi="Times New Roman" w:cs="Times New Roman"/>
                  <w:color w:val="000000" w:themeColor="text1"/>
                  <w:szCs w:val="22"/>
                  <w:highlight w:val="white"/>
                  <w:u w:val="none"/>
                </w:rPr>
                <w:t>пункте 6 статьи 46</w:t>
              </w:r>
            </w:hyperlink>
            <w:r>
              <w:rPr>
                <w:rFonts w:ascii="Times New Roman" w:hAnsi="Times New Roman" w:cs="Times New Roman"/>
                <w:color w:val="22272F"/>
                <w:szCs w:val="22"/>
                <w:highlight w:val="white"/>
              </w:rPr>
              <w:t> 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1 16 07090 04 0000 140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>
              <w:rPr>
                <w:rFonts w:ascii="Times New Roman" w:hAnsi="Times New Roman" w:cs="Times New Roman"/>
              </w:rPr>
              <w:lastRenderedPageBreak/>
              <w:t>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17 01040 04 0000 180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59B">
        <w:tc>
          <w:tcPr>
            <w:tcW w:w="680" w:type="dxa"/>
            <w:vMerge w:val="restart"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 w:val="restart"/>
          </w:tcPr>
          <w:p w:rsidR="0009459B" w:rsidRDefault="0052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 областного бюджета, местного бюджета, администрирование которых может осуществляться главными администраторами доходов местного бюджета в пределах их компе</w:t>
            </w:r>
            <w:r>
              <w:rPr>
                <w:rFonts w:ascii="Times New Roman" w:hAnsi="Times New Roman" w:cs="Times New Roman"/>
              </w:rPr>
              <w:t>тенции</w:t>
            </w: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2 07 04000 04 0000 150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безвозмездные поступления в бюджеты городских округов </w:t>
            </w:r>
            <w:hyperlink w:anchor="P882" w:tooltip="#P882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09459B">
        <w:tc>
          <w:tcPr>
            <w:tcW w:w="680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9459B" w:rsidRDefault="00094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09459B" w:rsidRDefault="0052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2 19 00000 04 0000 150</w:t>
            </w:r>
          </w:p>
        </w:tc>
        <w:tc>
          <w:tcPr>
            <w:tcW w:w="3621" w:type="dxa"/>
          </w:tcPr>
          <w:p w:rsidR="0009459B" w:rsidRDefault="00526C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  <w:hyperlink w:anchor="P883" w:tooltip="#P883" w:history="1">
              <w:r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</w:tbl>
    <w:p w:rsidR="0009459B" w:rsidRDefault="0009459B">
      <w:pPr>
        <w:pStyle w:val="ConsPlusNormal"/>
        <w:ind w:firstLine="540"/>
        <w:jc w:val="both"/>
      </w:pPr>
    </w:p>
    <w:p w:rsidR="0009459B" w:rsidRDefault="00526CA3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882"/>
      <w:bookmarkEnd w:id="1"/>
      <w:r>
        <w:rPr>
          <w:rFonts w:ascii="Times New Roman" w:eastAsia="Times New Roman" w:hAnsi="Times New Roman" w:cs="Times New Roman"/>
          <w:szCs w:val="20"/>
          <w:lang w:eastAsia="ru-RU"/>
        </w:rPr>
        <w:t>&lt;*&gt; Администрирование поступлений по всем подстатьям и подвидам соответствующей статьи осуществляется администратором, указанным в группировочном коде бюджетной классификации.</w:t>
      </w:r>
    </w:p>
    <w:p w:rsidR="0009459B" w:rsidRDefault="00526CA3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883"/>
      <w:bookmarkEnd w:id="2"/>
      <w:r>
        <w:rPr>
          <w:rFonts w:ascii="Times New Roman" w:eastAsia="Times New Roman" w:hAnsi="Times New Roman" w:cs="Times New Roman"/>
          <w:szCs w:val="20"/>
          <w:lang w:eastAsia="ru-RU"/>
        </w:rPr>
        <w:t>&lt;**&gt; Администрирование поступлений по всем подстатьям и подвидам соответствующей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статьи осуществляется администратором, указанным в группировочном коде бюджетной классификации, по коду элемента вида дохода «04».</w:t>
      </w:r>
    </w:p>
    <w:p w:rsidR="0009459B" w:rsidRDefault="0009459B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09459B" w:rsidRDefault="00526CA3">
      <w:pPr>
        <w:widowControl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sectPr w:rsidR="0009459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A3" w:rsidRDefault="00526CA3">
      <w:pPr>
        <w:spacing w:after="0" w:line="240" w:lineRule="auto"/>
      </w:pPr>
      <w:r>
        <w:separator/>
      </w:r>
    </w:p>
  </w:endnote>
  <w:endnote w:type="continuationSeparator" w:id="0">
    <w:p w:rsidR="00526CA3" w:rsidRDefault="0052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A3" w:rsidRDefault="00526CA3">
      <w:pPr>
        <w:spacing w:after="0" w:line="240" w:lineRule="auto"/>
      </w:pPr>
      <w:r>
        <w:separator/>
      </w:r>
    </w:p>
  </w:footnote>
  <w:footnote w:type="continuationSeparator" w:id="0">
    <w:p w:rsidR="00526CA3" w:rsidRDefault="0052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562311"/>
      <w:docPartObj>
        <w:docPartGallery w:val="Page Numbers (Top of Page)"/>
        <w:docPartUnique/>
      </w:docPartObj>
    </w:sdtPr>
    <w:sdtEndPr/>
    <w:sdtContent>
      <w:p w:rsidR="0009459B" w:rsidRDefault="00526CA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71B">
          <w:rPr>
            <w:noProof/>
          </w:rPr>
          <w:t>2</w:t>
        </w:r>
        <w:r>
          <w:fldChar w:fldCharType="end"/>
        </w:r>
      </w:p>
    </w:sdtContent>
  </w:sdt>
  <w:p w:rsidR="0009459B" w:rsidRDefault="0009459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9B"/>
    <w:rsid w:val="0009459B"/>
    <w:rsid w:val="00526CA3"/>
    <w:rsid w:val="0062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D5476-2960-439F-A945-C6E8D661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9CE90C04F26E7CF4A8F08836958EB09823DFD15C4351F435E13F06E0D22E6BEBA4581F6A0295E42EC0EA6D08852E8D013A81FFEB44F7EC61P4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3804</Words>
  <Characters>21686</Characters>
  <Application>Microsoft Office Word</Application>
  <DocSecurity>0</DocSecurity>
  <Lines>180</Lines>
  <Paragraphs>50</Paragraphs>
  <ScaleCrop>false</ScaleCrop>
  <Company/>
  <LinksUpToDate>false</LinksUpToDate>
  <CharactersWithSpaces>25440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 Oksana S.</dc:creator>
  <cp:lastModifiedBy>Маслова Диана Евгеньевна</cp:lastModifiedBy>
  <cp:revision>63</cp:revision>
  <dcterms:created xsi:type="dcterms:W3CDTF">2021-10-22T03:00:00Z</dcterms:created>
  <dcterms:modified xsi:type="dcterms:W3CDTF">2025-10-28T00:46:00Z</dcterms:modified>
</cp:coreProperties>
</file>