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5BA7ACBD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3A7775">
        <w:rPr>
          <w:b/>
        </w:rPr>
        <w:t>6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5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807486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9B6AB8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</w:t>
      </w:r>
      <w:bookmarkStart w:id="1" w:name="_GoBack"/>
      <w:r w:rsidRPr="00C97B20">
        <w:rPr>
          <w:rFonts w:ascii="Times New Roman" w:hAnsi="Times New Roman" w:cs="Times New Roman"/>
          <w:color w:val="auto"/>
          <w:sz w:val="24"/>
        </w:rPr>
        <w:t>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proofErr w:type="spellStart"/>
              <w:r w:rsidRPr="009F3749">
                <w:rPr>
                  <w:rStyle w:val="a3"/>
                  <w:lang w:val="en-US"/>
                </w:rPr>
                <w:t>magadan</w:t>
              </w:r>
              <w:proofErr w:type="spellEnd"/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127006, город Москва, улица Долгоруковская,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77777777" w:rsidR="00F14C06" w:rsidRPr="003F1DDE" w:rsidRDefault="00A56539" w:rsidP="00F14C06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АУКЦИОН В</w:t>
            </w:r>
            <w:r w:rsidR="00F14C06">
              <w:rPr>
                <w:b/>
              </w:rPr>
              <w:t xml:space="preserve"> ЭЛЕКТРОННОЙ ФОРМЕ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8F22E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22AA100B" w:rsidR="00FB1032" w:rsidRPr="00FB1032" w:rsidRDefault="00FB1032" w:rsidP="00FB1032">
            <w:pPr>
              <w:tabs>
                <w:tab w:val="left" w:pos="142"/>
                <w:tab w:val="left" w:pos="720"/>
              </w:tabs>
              <w:ind w:right="118"/>
            </w:pPr>
            <w:r w:rsidRPr="00FB1032">
              <w:t>Открытая</w:t>
            </w:r>
            <w:r>
              <w:t xml:space="preserve"> </w:t>
            </w:r>
            <w:r w:rsidR="008F22E1">
              <w:t>- в ходе проведения торгов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807486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F14C06" w14:paraId="53345C62" w14:textId="77777777" w:rsidTr="008B7231">
        <w:tc>
          <w:tcPr>
            <w:tcW w:w="2552" w:type="dxa"/>
            <w:vAlign w:val="center"/>
          </w:tcPr>
          <w:p w14:paraId="5E1D392C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10A09BA9" w:rsidR="00F14C06" w:rsidRPr="00BE7716" w:rsidRDefault="005F46CB" w:rsidP="003A7775">
            <w:pPr>
              <w:jc w:val="both"/>
            </w:pPr>
            <w:r w:rsidRPr="00BE7716">
              <w:rPr>
                <w:b/>
              </w:rPr>
              <w:t>1</w:t>
            </w:r>
            <w:r w:rsidR="003A7775">
              <w:rPr>
                <w:b/>
              </w:rPr>
              <w:t>6</w:t>
            </w:r>
            <w:r w:rsidRPr="00BE7716">
              <w:rPr>
                <w:b/>
              </w:rPr>
              <w:t xml:space="preserve"> </w:t>
            </w:r>
            <w:r w:rsidR="003A7775">
              <w:rPr>
                <w:b/>
              </w:rPr>
              <w:t>августа</w:t>
            </w:r>
            <w:r w:rsidR="00F14C06" w:rsidRPr="00BE7716">
              <w:rPr>
                <w:b/>
              </w:rPr>
              <w:t xml:space="preserve"> 202</w:t>
            </w:r>
            <w:r w:rsidR="008B7231" w:rsidRPr="00BE7716">
              <w:rPr>
                <w:b/>
              </w:rPr>
              <w:t>4</w:t>
            </w:r>
            <w:r w:rsidR="00F14C06" w:rsidRPr="00BE7716">
              <w:rPr>
                <w:b/>
              </w:rPr>
              <w:t xml:space="preserve"> г</w:t>
            </w:r>
            <w:r w:rsidR="00F14C06" w:rsidRPr="00BE7716">
              <w:t>. в 09</w:t>
            </w:r>
            <w:r w:rsidR="00853117" w:rsidRPr="00BE7716">
              <w:t>:</w:t>
            </w:r>
            <w:r w:rsidR="00F14C06" w:rsidRPr="00BE7716">
              <w:t>00 по магаданскому времени (01</w:t>
            </w:r>
            <w:r w:rsidR="00853117" w:rsidRPr="00BE7716">
              <w:t>:</w:t>
            </w:r>
            <w:r w:rsidR="00F14C06" w:rsidRPr="00BE7716">
              <w:t>00 по московскому времени). Подача заявок осуществляется круглосуточно.</w:t>
            </w:r>
          </w:p>
        </w:tc>
      </w:tr>
      <w:tr w:rsidR="00F14C06" w14:paraId="3236847F" w14:textId="77777777" w:rsidTr="008B7231">
        <w:tc>
          <w:tcPr>
            <w:tcW w:w="2552" w:type="dxa"/>
            <w:vAlign w:val="center"/>
          </w:tcPr>
          <w:p w14:paraId="1AC903E8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62E6B81F" w:rsidR="00F14C06" w:rsidRPr="00BE7716" w:rsidRDefault="003A7775" w:rsidP="003A7775">
            <w:pPr>
              <w:jc w:val="both"/>
            </w:pPr>
            <w:r>
              <w:rPr>
                <w:b/>
              </w:rPr>
              <w:t>13 сентября</w:t>
            </w:r>
            <w:r w:rsidR="00265D9E" w:rsidRPr="00BE7716">
              <w:rPr>
                <w:b/>
              </w:rPr>
              <w:t xml:space="preserve"> 2024</w:t>
            </w:r>
            <w:r w:rsidR="00F14C06" w:rsidRPr="00BE7716">
              <w:rPr>
                <w:b/>
              </w:rPr>
              <w:t xml:space="preserve"> г</w:t>
            </w:r>
            <w:r w:rsidR="00F14C06" w:rsidRPr="00BE7716">
              <w:t xml:space="preserve">. в </w:t>
            </w:r>
            <w:r w:rsidR="000D0E78" w:rsidRPr="00BE7716">
              <w:t>23:00 по магаданскому времени (15:00 по московскому времени)</w:t>
            </w:r>
            <w:r w:rsidR="00F14C06" w:rsidRPr="00BE7716">
              <w:t>.</w:t>
            </w:r>
          </w:p>
        </w:tc>
      </w:tr>
      <w:tr w:rsidR="00F14C06" w:rsidRPr="00227D8C" w14:paraId="568C9B8F" w14:textId="77777777" w:rsidTr="008B7231">
        <w:tc>
          <w:tcPr>
            <w:tcW w:w="2552" w:type="dxa"/>
            <w:vAlign w:val="center"/>
          </w:tcPr>
          <w:p w14:paraId="7085C5F0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1DD9C130" w:rsidR="00F14C06" w:rsidRPr="00BE7716" w:rsidRDefault="003A7775" w:rsidP="003A7775">
            <w:pPr>
              <w:jc w:val="both"/>
            </w:pPr>
            <w:r>
              <w:rPr>
                <w:b/>
              </w:rPr>
              <w:t>17 сентября</w:t>
            </w:r>
            <w:r w:rsidR="00F14C06" w:rsidRPr="00BE7716">
              <w:rPr>
                <w:b/>
              </w:rPr>
              <w:t xml:space="preserve"> 202</w:t>
            </w:r>
            <w:r w:rsidR="00B54D09" w:rsidRPr="00BE7716">
              <w:rPr>
                <w:b/>
              </w:rPr>
              <w:t>4</w:t>
            </w:r>
            <w:r w:rsidR="00F14C06" w:rsidRPr="00BE7716">
              <w:rPr>
                <w:b/>
              </w:rPr>
              <w:t xml:space="preserve"> г.</w:t>
            </w:r>
            <w:r w:rsidR="00F14C06" w:rsidRPr="00BE7716">
              <w:t xml:space="preserve"> </w:t>
            </w:r>
          </w:p>
        </w:tc>
      </w:tr>
      <w:tr w:rsidR="00F14C06" w14:paraId="36D6B78C" w14:textId="77777777" w:rsidTr="008B7231">
        <w:tc>
          <w:tcPr>
            <w:tcW w:w="2552" w:type="dxa"/>
            <w:vAlign w:val="center"/>
          </w:tcPr>
          <w:p w14:paraId="6B38AE17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7777777" w:rsidR="00F14C06" w:rsidRPr="00BE7716" w:rsidRDefault="00807486" w:rsidP="00F14C06">
            <w:hyperlink r:id="rId12" w:history="1">
              <w:r w:rsidR="005E03B4" w:rsidRPr="00BE7716">
                <w:rPr>
                  <w:rStyle w:val="a3"/>
                </w:rPr>
                <w:t>www.rts-tender.ru</w:t>
              </w:r>
            </w:hyperlink>
          </w:p>
        </w:tc>
      </w:tr>
      <w:tr w:rsidR="00F14C06" w:rsidRPr="00227D8C" w14:paraId="5C95E802" w14:textId="77777777" w:rsidTr="008B7231">
        <w:tc>
          <w:tcPr>
            <w:tcW w:w="2552" w:type="dxa"/>
            <w:vAlign w:val="center"/>
          </w:tcPr>
          <w:p w14:paraId="664C4C8D" w14:textId="77777777" w:rsidR="00F14C06" w:rsidRPr="008B7231" w:rsidRDefault="00F14C06" w:rsidP="00527CDD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продажи:</w:t>
            </w:r>
          </w:p>
        </w:tc>
        <w:tc>
          <w:tcPr>
            <w:tcW w:w="8221" w:type="dxa"/>
          </w:tcPr>
          <w:p w14:paraId="18219D22" w14:textId="1C5D4A24" w:rsidR="00F14C06" w:rsidRPr="00BE7716" w:rsidRDefault="003A7775" w:rsidP="003A7775">
            <w:pPr>
              <w:jc w:val="both"/>
            </w:pPr>
            <w:r>
              <w:rPr>
                <w:b/>
              </w:rPr>
              <w:t>18 сентября</w:t>
            </w:r>
            <w:r w:rsidR="00F14C06" w:rsidRPr="00BE7716">
              <w:rPr>
                <w:b/>
              </w:rPr>
              <w:t xml:space="preserve"> 202</w:t>
            </w:r>
            <w:r w:rsidR="00B54D09" w:rsidRPr="00BE7716">
              <w:rPr>
                <w:b/>
              </w:rPr>
              <w:t>4</w:t>
            </w:r>
            <w:r w:rsidR="00F14C06" w:rsidRPr="00BE7716">
              <w:rPr>
                <w:b/>
              </w:rPr>
              <w:t xml:space="preserve"> г.</w:t>
            </w:r>
            <w:r w:rsidR="00F14C06" w:rsidRPr="00BE7716">
              <w:t xml:space="preserve"> с </w:t>
            </w:r>
            <w:r w:rsidR="000D0E78" w:rsidRPr="00BE7716">
              <w:t>10</w:t>
            </w:r>
            <w:r w:rsidR="00853117" w:rsidRPr="00BE7716">
              <w:t>:</w:t>
            </w:r>
            <w:r w:rsidR="00F14C06" w:rsidRPr="00BE7716">
              <w:t>00 по магаданскому времени (0</w:t>
            </w:r>
            <w:r w:rsidR="000D0E78" w:rsidRPr="00BE7716">
              <w:t>2</w:t>
            </w:r>
            <w:r w:rsidR="002E0CA0" w:rsidRPr="00BE7716">
              <w:t>:</w:t>
            </w:r>
            <w:r w:rsidR="00F14C06" w:rsidRPr="00BE7716">
              <w:t>00 по московскому времени) и до последнего предложения участников</w:t>
            </w:r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286E1F1E" w14:textId="6D91B409" w:rsidR="008E5A70" w:rsidRDefault="005E2A02" w:rsidP="008F22E1">
            <w:pPr>
              <w:autoSpaceDE w:val="0"/>
              <w:autoSpaceDN w:val="0"/>
              <w:adjustRightInd w:val="0"/>
              <w:jc w:val="both"/>
            </w:pPr>
            <w:r>
              <w:t>Транспортное средство - а</w:t>
            </w:r>
            <w:r w:rsidRPr="005E2A02">
              <w:t>втовышка HYUNDAI GOLD, 2013 год изготовления, идентификационный номер (VIN) KMFDA18CPDC068521, модель, № двигателя D6AC C237455, шасси (рама) № KMFDA18CPDC068521, кузов (кабина, прицеп)</w:t>
            </w:r>
            <w:r w:rsidR="008E2D44">
              <w:t xml:space="preserve"> отсутствует</w:t>
            </w:r>
            <w:r>
              <w:t>, цвет кузова (кабины, прицепа) белый.</w:t>
            </w:r>
          </w:p>
          <w:p w14:paraId="6FA5DA10" w14:textId="4971A917" w:rsidR="005E2A02" w:rsidRDefault="005E2A02" w:rsidP="008F22E1">
            <w:pPr>
              <w:autoSpaceDE w:val="0"/>
              <w:autoSpaceDN w:val="0"/>
              <w:adjustRightInd w:val="0"/>
              <w:jc w:val="both"/>
            </w:pPr>
            <w:r>
              <w:t xml:space="preserve">Категория ТС – С,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- 340 (255), рабочий объем двигателя, куб. см - 11149, тип двигателя – дизельный, экологический класс – четвертый, разрешенная максимальная масса, кг – 25 000, масса без нагрузки, кг – 24 570. </w:t>
            </w:r>
          </w:p>
          <w:p w14:paraId="23AC91A0" w14:textId="742559BF" w:rsidR="008E5A70" w:rsidRPr="009F3749" w:rsidRDefault="005E2A02" w:rsidP="004E2249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>
              <w:t xml:space="preserve"> </w:t>
            </w:r>
            <w:r w:rsidR="008E5A70" w:rsidRPr="00176C7E">
              <w:rPr>
                <w:b/>
                <w:u w:val="single"/>
              </w:rPr>
              <w:t xml:space="preserve">Победителем аукциона/единственным участником аукциона дополнительно возмещаются расходы по оценке рыночной стоимости указанного имущества в сумме </w:t>
            </w:r>
            <w:r w:rsidR="00DB7289" w:rsidRPr="00176C7E">
              <w:rPr>
                <w:b/>
                <w:u w:val="single"/>
              </w:rPr>
              <w:t xml:space="preserve">            </w:t>
            </w:r>
            <w:r w:rsidR="008E5A70" w:rsidRPr="00176C7E">
              <w:rPr>
                <w:b/>
                <w:u w:val="single"/>
              </w:rPr>
              <w:t>5 000,00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7611C144" w:rsidR="008E5A70" w:rsidRPr="003F1DDE" w:rsidRDefault="008E5A70" w:rsidP="005E2A02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</w:t>
            </w:r>
            <w:r w:rsidR="00D16883">
              <w:t>4</w:t>
            </w:r>
            <w:r w:rsidRPr="003F1DDE">
              <w:t xml:space="preserve"> год, постановление мэрии города Магадана от </w:t>
            </w:r>
            <w:r w:rsidR="005E2A02">
              <w:t>15.04</w:t>
            </w:r>
            <w:r w:rsidR="00B16035">
              <w:t>.2024</w:t>
            </w:r>
            <w:r w:rsidRPr="003F1DDE">
              <w:t xml:space="preserve"> № </w:t>
            </w:r>
            <w:r w:rsidR="005E2A02">
              <w:t>1204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8E5A70" w:rsidRPr="001C2F83" w14:paraId="57D512B9" w14:textId="77777777" w:rsidTr="008B7231">
        <w:tc>
          <w:tcPr>
            <w:tcW w:w="2552" w:type="dxa"/>
            <w:vAlign w:val="center"/>
          </w:tcPr>
          <w:p w14:paraId="500FBD9C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8221" w:type="dxa"/>
          </w:tcPr>
          <w:p w14:paraId="3A97FF26" w14:textId="77777777" w:rsidR="008E5A70" w:rsidRDefault="008E5A70" w:rsidP="009C6B7D">
            <w:r w:rsidRPr="009C6B7D">
              <w:t xml:space="preserve"> </w:t>
            </w:r>
            <w:r w:rsidR="009C6B7D" w:rsidRPr="009C6B7D">
              <w:t xml:space="preserve">11 753 000 </w:t>
            </w:r>
            <w:r w:rsidRPr="009C6B7D">
              <w:t>(</w:t>
            </w:r>
            <w:r w:rsidR="009C6B7D" w:rsidRPr="009C6B7D">
              <w:t xml:space="preserve">одиннадцать </w:t>
            </w:r>
            <w:r w:rsidRPr="009C6B7D">
              <w:t>миллион</w:t>
            </w:r>
            <w:r w:rsidR="009C6B7D" w:rsidRPr="009C6B7D">
              <w:t>ов семьсот пятьдесят три тысячи</w:t>
            </w:r>
            <w:r w:rsidRPr="009C6B7D">
              <w:t>) рублей 00 копеек (</w:t>
            </w:r>
            <w:r w:rsidR="009C6B7D" w:rsidRPr="001B3749">
              <w:rPr>
                <w:b/>
                <w:u w:val="single"/>
              </w:rPr>
              <w:t>БЕЗ УЧЕТА</w:t>
            </w:r>
            <w:r w:rsidRPr="001B3749">
              <w:rPr>
                <w:b/>
                <w:u w:val="single"/>
              </w:rPr>
              <w:t xml:space="preserve"> НДС</w:t>
            </w:r>
            <w:r w:rsidRPr="009C6B7D">
              <w:t>)</w:t>
            </w:r>
          </w:p>
          <w:p w14:paraId="06E9F127" w14:textId="1A5434A0" w:rsidR="004766B7" w:rsidRPr="0000687B" w:rsidRDefault="0000687B" w:rsidP="0000687B">
            <w:pPr>
              <w:rPr>
                <w:i/>
              </w:rPr>
            </w:pPr>
            <w:r w:rsidRPr="0000687B">
              <w:rPr>
                <w:i/>
              </w:rPr>
              <w:t xml:space="preserve">Для сведения: </w:t>
            </w:r>
            <w:r w:rsidR="004766B7" w:rsidRPr="0000687B">
              <w:rPr>
                <w:i/>
              </w:rPr>
              <w:t xml:space="preserve">НДС – </w:t>
            </w:r>
            <w:r w:rsidRPr="0000687B">
              <w:rPr>
                <w:i/>
              </w:rPr>
              <w:t>2 350 600</w:t>
            </w:r>
            <w:r w:rsidR="004766B7" w:rsidRPr="0000687B">
              <w:rPr>
                <w:i/>
              </w:rPr>
              <w:t>,</w:t>
            </w:r>
            <w:r w:rsidRPr="0000687B">
              <w:rPr>
                <w:i/>
              </w:rPr>
              <w:t>00</w:t>
            </w:r>
            <w:r w:rsidR="004766B7" w:rsidRPr="0000687B">
              <w:rPr>
                <w:i/>
              </w:rPr>
              <w:t xml:space="preserve"> руб.</w:t>
            </w:r>
          </w:p>
        </w:tc>
      </w:tr>
      <w:tr w:rsidR="008E5A70" w:rsidRPr="006107A3" w14:paraId="1009DECF" w14:textId="77777777" w:rsidTr="008B7231">
        <w:tc>
          <w:tcPr>
            <w:tcW w:w="2552" w:type="dxa"/>
          </w:tcPr>
          <w:p w14:paraId="243C2DD5" w14:textId="77777777" w:rsidR="008E5A70" w:rsidRPr="00811C62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33B70A10" w14:textId="656E4AE9" w:rsidR="008E5A70" w:rsidRPr="009C6B7D" w:rsidRDefault="008E5A70" w:rsidP="009C6B7D">
            <w:pPr>
              <w:tabs>
                <w:tab w:val="left" w:pos="142"/>
                <w:tab w:val="left" w:pos="540"/>
              </w:tabs>
            </w:pPr>
            <w:r w:rsidRPr="009C6B7D">
              <w:t xml:space="preserve"> </w:t>
            </w:r>
            <w:r w:rsidR="009C6B7D" w:rsidRPr="009C6B7D">
              <w:t>587 650</w:t>
            </w:r>
            <w:r w:rsidRPr="009C6B7D">
              <w:t xml:space="preserve"> (</w:t>
            </w:r>
            <w:r w:rsidR="009C6B7D" w:rsidRPr="009C6B7D">
              <w:t>пятьсот восемьдесят семь тысяч шестьсот пятьдесят</w:t>
            </w:r>
            <w:r w:rsidRPr="009C6B7D">
              <w:t>) рублей 00 копеек</w:t>
            </w:r>
          </w:p>
        </w:tc>
      </w:tr>
      <w:tr w:rsidR="008E5A70" w:rsidRPr="001C2F83" w14:paraId="31FA3428" w14:textId="77777777" w:rsidTr="008B7231">
        <w:tc>
          <w:tcPr>
            <w:tcW w:w="2552" w:type="dxa"/>
          </w:tcPr>
          <w:p w14:paraId="65B55A41" w14:textId="77777777" w:rsidR="008E5A70" w:rsidRPr="00811C62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79544C26" w14:textId="653FC20B" w:rsidR="008E5A70" w:rsidRPr="009C6B7D" w:rsidRDefault="008E5A70" w:rsidP="009C6B7D">
            <w:pPr>
              <w:tabs>
                <w:tab w:val="left" w:pos="142"/>
                <w:tab w:val="left" w:pos="540"/>
              </w:tabs>
            </w:pPr>
            <w:r w:rsidRPr="009C6B7D">
              <w:t xml:space="preserve"> </w:t>
            </w:r>
            <w:r w:rsidR="009C6B7D" w:rsidRPr="009C6B7D">
              <w:t>1 175 300</w:t>
            </w:r>
            <w:r w:rsidRPr="009C6B7D">
              <w:t xml:space="preserve"> (</w:t>
            </w:r>
            <w:r w:rsidR="009C6B7D" w:rsidRPr="009C6B7D">
              <w:t>один миллион</w:t>
            </w:r>
            <w:r w:rsidRPr="009C6B7D">
              <w:t xml:space="preserve"> </w:t>
            </w:r>
            <w:r w:rsidR="009C6B7D" w:rsidRPr="009C6B7D">
              <w:t>сто семьдесят пять тысяч триста</w:t>
            </w:r>
            <w:r w:rsidRPr="009C6B7D">
              <w:t>) рублей 00 копеек</w:t>
            </w:r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Default="008E5A70" w:rsidP="008F22E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763008BD" w14:textId="00B3528E" w:rsidR="008E5A70" w:rsidRDefault="009B1FAA" w:rsidP="00E32116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Аукцион</w:t>
            </w:r>
            <w:r w:rsidR="00E32116">
              <w:rPr>
                <w:szCs w:val="19"/>
              </w:rPr>
              <w:t>ы</w:t>
            </w:r>
            <w:r>
              <w:rPr>
                <w:szCs w:val="19"/>
              </w:rPr>
              <w:t>, назначенны</w:t>
            </w:r>
            <w:r w:rsidR="00E32116">
              <w:rPr>
                <w:szCs w:val="19"/>
              </w:rPr>
              <w:t>е</w:t>
            </w:r>
            <w:r>
              <w:rPr>
                <w:szCs w:val="19"/>
              </w:rPr>
              <w:t xml:space="preserve"> на 21.05</w:t>
            </w:r>
            <w:r w:rsidR="002F6943">
              <w:rPr>
                <w:szCs w:val="19"/>
              </w:rPr>
              <w:t>.2024</w:t>
            </w:r>
            <w:r w:rsidR="00E32116">
              <w:rPr>
                <w:szCs w:val="19"/>
              </w:rPr>
              <w:t>, 09.07.2024</w:t>
            </w:r>
            <w:r w:rsidR="003A7775">
              <w:rPr>
                <w:szCs w:val="19"/>
              </w:rPr>
              <w:t>, 13.08.2024</w:t>
            </w:r>
            <w:r w:rsidR="002F6943">
              <w:rPr>
                <w:szCs w:val="19"/>
              </w:rPr>
              <w:t xml:space="preserve"> признан</w:t>
            </w:r>
            <w:r w:rsidR="00E32116">
              <w:rPr>
                <w:szCs w:val="19"/>
              </w:rPr>
              <w:t>ы</w:t>
            </w:r>
            <w:r w:rsidR="002F6943">
              <w:rPr>
                <w:szCs w:val="19"/>
              </w:rPr>
              <w:t xml:space="preserve"> несостоявшим</w:t>
            </w:r>
            <w:r w:rsidR="00E32116">
              <w:rPr>
                <w:szCs w:val="19"/>
              </w:rPr>
              <w:t>и</w:t>
            </w:r>
            <w:r w:rsidR="002F6943">
              <w:rPr>
                <w:szCs w:val="19"/>
              </w:rPr>
              <w:t>ся</w:t>
            </w:r>
            <w:r w:rsidR="00E32116">
              <w:rPr>
                <w:szCs w:val="19"/>
              </w:rPr>
              <w:t xml:space="preserve"> ввиду отсутствия поданных заявок</w:t>
            </w:r>
            <w:r w:rsidR="002F6943">
              <w:rPr>
                <w:szCs w:val="19"/>
              </w:rPr>
              <w:t>.</w:t>
            </w:r>
          </w:p>
        </w:tc>
      </w:tr>
      <w:tr w:rsidR="008E5A70" w:rsidRPr="00762E9B" w14:paraId="256EE5D9" w14:textId="77777777" w:rsidTr="008B7231">
        <w:tc>
          <w:tcPr>
            <w:tcW w:w="2552" w:type="dxa"/>
          </w:tcPr>
          <w:p w14:paraId="55E0F7AF" w14:textId="36B04D01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</w:p>
        </w:tc>
        <w:tc>
          <w:tcPr>
            <w:tcW w:w="8221" w:type="dxa"/>
          </w:tcPr>
          <w:p w14:paraId="328AE485" w14:textId="77777777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156D8408" w14:textId="77777777" w:rsidR="008E5A70" w:rsidRPr="00762E9B" w:rsidRDefault="008E5A70" w:rsidP="008F22E1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  <w:bookmarkEnd w:id="1"/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lastRenderedPageBreak/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proofErr w:type="spellStart"/>
      <w:r>
        <w:rPr>
          <w:rFonts w:eastAsia="Calibri"/>
          <w:lang w:val="en-US" w:eastAsia="en-US"/>
        </w:rPr>
        <w:t>magadan</w:t>
      </w:r>
      <w:proofErr w:type="spellEnd"/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lastRenderedPageBreak/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lastRenderedPageBreak/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lastRenderedPageBreak/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</w:t>
      </w:r>
      <w:r>
        <w:rPr>
          <w:rFonts w:eastAsiaTheme="minorHAnsi"/>
          <w:lang w:eastAsia="en-US"/>
        </w:rPr>
        <w:lastRenderedPageBreak/>
        <w:t>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lastRenderedPageBreak/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lastRenderedPageBreak/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t>15. Отказ от проведения продажи муниципального имущества</w:t>
      </w:r>
      <w:bookmarkEnd w:id="16"/>
    </w:p>
    <w:p w14:paraId="305F22DE" w14:textId="7777777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7B6E"/>
    <w:rsid w:val="00064270"/>
    <w:rsid w:val="0007098F"/>
    <w:rsid w:val="00077217"/>
    <w:rsid w:val="00082159"/>
    <w:rsid w:val="000908D7"/>
    <w:rsid w:val="00097086"/>
    <w:rsid w:val="000A32FF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6496"/>
    <w:rsid w:val="00221DDD"/>
    <w:rsid w:val="00227D8C"/>
    <w:rsid w:val="00231AED"/>
    <w:rsid w:val="002320DD"/>
    <w:rsid w:val="00232243"/>
    <w:rsid w:val="002344FD"/>
    <w:rsid w:val="0024302D"/>
    <w:rsid w:val="002447A9"/>
    <w:rsid w:val="00244DE4"/>
    <w:rsid w:val="00246DF9"/>
    <w:rsid w:val="002549DC"/>
    <w:rsid w:val="00262D70"/>
    <w:rsid w:val="00262F57"/>
    <w:rsid w:val="00265D9E"/>
    <w:rsid w:val="00267A08"/>
    <w:rsid w:val="00274A52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42FE"/>
    <w:rsid w:val="002E0CA0"/>
    <w:rsid w:val="002E4DD8"/>
    <w:rsid w:val="002E691E"/>
    <w:rsid w:val="002E72A0"/>
    <w:rsid w:val="002F2F42"/>
    <w:rsid w:val="002F4AAC"/>
    <w:rsid w:val="002F50F1"/>
    <w:rsid w:val="002F6943"/>
    <w:rsid w:val="00300AED"/>
    <w:rsid w:val="00306CF4"/>
    <w:rsid w:val="00312C60"/>
    <w:rsid w:val="00313AB8"/>
    <w:rsid w:val="003166FD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2A02"/>
    <w:rsid w:val="005F26CF"/>
    <w:rsid w:val="005F46CB"/>
    <w:rsid w:val="0060519B"/>
    <w:rsid w:val="006058A9"/>
    <w:rsid w:val="006107A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712D"/>
    <w:rsid w:val="00787EDB"/>
    <w:rsid w:val="0079037E"/>
    <w:rsid w:val="007913EC"/>
    <w:rsid w:val="007A4E96"/>
    <w:rsid w:val="007A5F85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39ED"/>
    <w:rsid w:val="00832F62"/>
    <w:rsid w:val="00834FD7"/>
    <w:rsid w:val="00836DC4"/>
    <w:rsid w:val="008419CD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6003"/>
    <w:rsid w:val="008D62E2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2C6D"/>
    <w:rsid w:val="009A4ED1"/>
    <w:rsid w:val="009A5521"/>
    <w:rsid w:val="009A68EA"/>
    <w:rsid w:val="009B1FAA"/>
    <w:rsid w:val="009B6AB8"/>
    <w:rsid w:val="009C6B7D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8FA"/>
    <w:rsid w:val="00C853C1"/>
    <w:rsid w:val="00C8729C"/>
    <w:rsid w:val="00C879F2"/>
    <w:rsid w:val="00C87AF8"/>
    <w:rsid w:val="00C95680"/>
    <w:rsid w:val="00C97B20"/>
    <w:rsid w:val="00CB5F61"/>
    <w:rsid w:val="00CC28EA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91D2F"/>
    <w:rsid w:val="00FB012A"/>
    <w:rsid w:val="00FB1032"/>
    <w:rsid w:val="00FB15E0"/>
    <w:rsid w:val="00FC2661"/>
    <w:rsid w:val="00FC3A10"/>
    <w:rsid w:val="00FC5351"/>
    <w:rsid w:val="00FC7B01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DBAF-6142-4AB8-B9DA-E9A7917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8011</Words>
  <Characters>45664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Черкасова</cp:lastModifiedBy>
  <cp:revision>13</cp:revision>
  <cp:lastPrinted>2024-08-12T05:21:00Z</cp:lastPrinted>
  <dcterms:created xsi:type="dcterms:W3CDTF">2024-07-09T03:42:00Z</dcterms:created>
  <dcterms:modified xsi:type="dcterms:W3CDTF">2024-08-12T06:00:00Z</dcterms:modified>
</cp:coreProperties>
</file>