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B8" w:rsidRPr="00814AA2" w:rsidRDefault="000355B8" w:rsidP="00602B54">
      <w:pPr>
        <w:pStyle w:val="1"/>
        <w:widowControl/>
        <w:overflowPunct/>
        <w:autoSpaceDE/>
        <w:autoSpaceDN/>
        <w:adjustRightInd/>
        <w:spacing w:line="240" w:lineRule="auto"/>
        <w:jc w:val="center"/>
        <w:textAlignment w:val="auto"/>
        <w:rPr>
          <w:rFonts w:ascii="Times New Roman" w:hAnsi="Times New Roman"/>
          <w:b w:val="0"/>
          <w:sz w:val="28"/>
          <w:szCs w:val="28"/>
          <w:lang w:eastAsia="en-US"/>
        </w:rPr>
      </w:pPr>
    </w:p>
    <w:tbl>
      <w:tblPr>
        <w:tblStyle w:val="ab"/>
        <w:tblW w:w="5811"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814AA2" w:rsidRPr="00814AA2" w:rsidTr="00C7584E">
        <w:trPr>
          <w:trHeight w:val="2170"/>
        </w:trPr>
        <w:tc>
          <w:tcPr>
            <w:tcW w:w="5811" w:type="dxa"/>
          </w:tcPr>
          <w:p w:rsidR="000355B8" w:rsidRPr="00814AA2" w:rsidRDefault="000355B8" w:rsidP="00C7584E">
            <w:pPr>
              <w:pStyle w:val="1"/>
              <w:spacing w:line="240" w:lineRule="auto"/>
              <w:jc w:val="center"/>
              <w:outlineLvl w:val="0"/>
              <w:rPr>
                <w:rFonts w:ascii="Times New Roman" w:hAnsi="Times New Roman"/>
                <w:iCs/>
                <w:sz w:val="28"/>
                <w:szCs w:val="28"/>
              </w:rPr>
            </w:pPr>
            <w:r w:rsidRPr="00814AA2">
              <w:rPr>
                <w:rFonts w:ascii="Times New Roman" w:hAnsi="Times New Roman"/>
                <w:iCs/>
              </w:rPr>
              <w:t xml:space="preserve">                </w:t>
            </w:r>
            <w:r w:rsidRPr="00814AA2">
              <w:rPr>
                <w:rFonts w:ascii="Times New Roman" w:hAnsi="Times New Roman"/>
                <w:iCs/>
                <w:sz w:val="28"/>
                <w:szCs w:val="28"/>
              </w:rPr>
              <w:t xml:space="preserve"> ПРИЛОЖЕНИЕ </w:t>
            </w:r>
          </w:p>
          <w:p w:rsidR="000355B8" w:rsidRPr="00814AA2" w:rsidRDefault="000355B8" w:rsidP="00C7584E">
            <w:pPr>
              <w:rPr>
                <w:sz w:val="28"/>
                <w:szCs w:val="28"/>
              </w:rPr>
            </w:pPr>
          </w:p>
          <w:p w:rsidR="000355B8" w:rsidRPr="00814AA2" w:rsidRDefault="000355B8" w:rsidP="00C7584E">
            <w:pPr>
              <w:pStyle w:val="1"/>
              <w:spacing w:line="240" w:lineRule="auto"/>
              <w:jc w:val="center"/>
              <w:outlineLvl w:val="0"/>
              <w:rPr>
                <w:rFonts w:ascii="Times New Roman" w:hAnsi="Times New Roman"/>
                <w:iCs/>
                <w:sz w:val="28"/>
                <w:szCs w:val="28"/>
              </w:rPr>
            </w:pPr>
            <w:r w:rsidRPr="00814AA2">
              <w:rPr>
                <w:rFonts w:ascii="Times New Roman" w:hAnsi="Times New Roman"/>
                <w:iCs/>
                <w:sz w:val="28"/>
                <w:szCs w:val="28"/>
              </w:rPr>
              <w:t xml:space="preserve">                к постановлению</w:t>
            </w:r>
          </w:p>
          <w:p w:rsidR="000355B8" w:rsidRPr="00814AA2" w:rsidRDefault="000355B8" w:rsidP="00C7584E">
            <w:pPr>
              <w:pStyle w:val="1"/>
              <w:spacing w:line="240" w:lineRule="auto"/>
              <w:jc w:val="center"/>
              <w:outlineLvl w:val="0"/>
              <w:rPr>
                <w:rFonts w:ascii="Times New Roman" w:hAnsi="Times New Roman"/>
                <w:iCs/>
                <w:sz w:val="28"/>
                <w:szCs w:val="28"/>
              </w:rPr>
            </w:pPr>
            <w:r w:rsidRPr="00814AA2">
              <w:rPr>
                <w:rFonts w:ascii="Times New Roman" w:hAnsi="Times New Roman"/>
                <w:iCs/>
                <w:sz w:val="28"/>
                <w:szCs w:val="28"/>
              </w:rPr>
              <w:t xml:space="preserve">                 мэрии города Магадана</w:t>
            </w:r>
          </w:p>
          <w:p w:rsidR="000355B8" w:rsidRPr="00814AA2" w:rsidRDefault="000355B8" w:rsidP="00C42593">
            <w:pPr>
              <w:widowControl w:val="0"/>
              <w:ind w:right="111"/>
              <w:jc w:val="center"/>
              <w:rPr>
                <w:iCs/>
              </w:rPr>
            </w:pPr>
            <w:r w:rsidRPr="00814AA2">
              <w:rPr>
                <w:iCs/>
                <w:sz w:val="28"/>
                <w:szCs w:val="28"/>
              </w:rPr>
              <w:t xml:space="preserve">                  от</w:t>
            </w:r>
            <w:r w:rsidR="00C42593">
              <w:rPr>
                <w:iCs/>
                <w:sz w:val="28"/>
                <w:szCs w:val="28"/>
              </w:rPr>
              <w:t xml:space="preserve"> 24.12.2024 </w:t>
            </w:r>
            <w:bookmarkStart w:id="0" w:name="_GoBack"/>
            <w:bookmarkEnd w:id="0"/>
            <w:r w:rsidRPr="00814AA2">
              <w:rPr>
                <w:iCs/>
                <w:sz w:val="28"/>
                <w:szCs w:val="28"/>
              </w:rPr>
              <w:t>№</w:t>
            </w:r>
            <w:r w:rsidR="00C42593">
              <w:rPr>
                <w:iCs/>
                <w:sz w:val="28"/>
                <w:szCs w:val="28"/>
              </w:rPr>
              <w:t xml:space="preserve"> 4538-пм</w:t>
            </w:r>
          </w:p>
        </w:tc>
      </w:tr>
    </w:tbl>
    <w:p w:rsidR="00184700" w:rsidRPr="00814AA2" w:rsidRDefault="006A24F0" w:rsidP="00602B54">
      <w:pPr>
        <w:pStyle w:val="1"/>
        <w:widowControl/>
        <w:overflowPunct/>
        <w:autoSpaceDE/>
        <w:autoSpaceDN/>
        <w:adjustRightInd/>
        <w:spacing w:line="240" w:lineRule="auto"/>
        <w:jc w:val="center"/>
        <w:textAlignment w:val="auto"/>
        <w:rPr>
          <w:rFonts w:ascii="Times New Roman" w:hAnsi="Times New Roman"/>
          <w:iCs/>
        </w:rPr>
      </w:pPr>
      <w:r w:rsidRPr="00814AA2">
        <w:rPr>
          <w:rFonts w:ascii="Times New Roman" w:hAnsi="Times New Roman"/>
          <w:b w:val="0"/>
          <w:sz w:val="28"/>
          <w:szCs w:val="28"/>
          <w:lang w:eastAsia="en-US"/>
        </w:rPr>
        <w:t>Перечень муниципальных услуг с элементами меж</w:t>
      </w:r>
      <w:r w:rsidR="00184700" w:rsidRPr="00814AA2">
        <w:rPr>
          <w:rFonts w:ascii="Times New Roman" w:hAnsi="Times New Roman"/>
          <w:b w:val="0"/>
          <w:sz w:val="28"/>
          <w:szCs w:val="28"/>
          <w:lang w:eastAsia="en-US"/>
        </w:rPr>
        <w:t xml:space="preserve">ведомственного взаимодействия, предоставляемых отраслевыми (функциональными) органами мэрии города Магадана, и услуг, предоставляемых муниципальными учреждениями города Магадана </w:t>
      </w:r>
      <w:r w:rsidR="00184700" w:rsidRPr="00814AA2">
        <w:rPr>
          <w:rFonts w:ascii="Times New Roman" w:hAnsi="Times New Roman"/>
          <w:iCs/>
        </w:rPr>
        <w:t xml:space="preserve">                       </w:t>
      </w:r>
    </w:p>
    <w:p w:rsidR="00184700" w:rsidRPr="00814AA2" w:rsidRDefault="00184700" w:rsidP="00602B54">
      <w:pPr>
        <w:pStyle w:val="1"/>
        <w:widowControl/>
        <w:overflowPunct/>
        <w:autoSpaceDE/>
        <w:autoSpaceDN/>
        <w:adjustRightInd/>
        <w:spacing w:line="240" w:lineRule="auto"/>
        <w:jc w:val="center"/>
        <w:textAlignment w:val="auto"/>
        <w:rPr>
          <w:rFonts w:ascii="Times New Roman" w:hAnsi="Times New Roman"/>
          <w:iCs/>
        </w:rPr>
      </w:pPr>
    </w:p>
    <w:p w:rsidR="00184700" w:rsidRPr="00814AA2" w:rsidRDefault="00184700" w:rsidP="00602B54">
      <w:pPr>
        <w:pStyle w:val="1"/>
        <w:widowControl/>
        <w:overflowPunct/>
        <w:autoSpaceDE/>
        <w:autoSpaceDN/>
        <w:adjustRightInd/>
        <w:spacing w:line="240" w:lineRule="auto"/>
        <w:jc w:val="center"/>
        <w:textAlignment w:val="auto"/>
        <w:rPr>
          <w:rFonts w:ascii="Times New Roman" w:hAnsi="Times New Roman"/>
          <w:i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814AA2" w:rsidRPr="00814AA2">
        <w:tc>
          <w:tcPr>
            <w:tcW w:w="9037" w:type="dxa"/>
            <w:gridSpan w:val="2"/>
            <w:tcBorders>
              <w:top w:val="single" w:sz="4" w:space="0" w:color="auto"/>
              <w:left w:val="single" w:sz="4" w:space="0" w:color="auto"/>
              <w:bottom w:val="single" w:sz="4" w:space="0" w:color="auto"/>
              <w:right w:val="single" w:sz="4" w:space="0" w:color="auto"/>
            </w:tcBorders>
          </w:tcPr>
          <w:p w:rsidR="00184700" w:rsidRPr="00814AA2" w:rsidRDefault="00184700">
            <w:pPr>
              <w:autoSpaceDE w:val="0"/>
              <w:autoSpaceDN w:val="0"/>
              <w:adjustRightInd w:val="0"/>
              <w:jc w:val="center"/>
              <w:outlineLvl w:val="0"/>
              <w:rPr>
                <w:rFonts w:eastAsiaTheme="minorHAnsi"/>
                <w:bCs/>
                <w:sz w:val="24"/>
                <w:szCs w:val="24"/>
                <w:lang w:eastAsia="en-US"/>
              </w:rPr>
            </w:pPr>
            <w:r w:rsidRPr="00814AA2">
              <w:rPr>
                <w:rFonts w:eastAsiaTheme="minorHAnsi"/>
                <w:bCs/>
                <w:sz w:val="24"/>
                <w:szCs w:val="24"/>
                <w:lang w:eastAsia="en-US"/>
              </w:rPr>
              <w:t>1. Департамент строительства, архитектуры, технического и экологического контроля мэрии города Магадана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184700">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184700">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разрешения на ввод объекта в эксплуатацию</w:t>
            </w:r>
          </w:p>
        </w:tc>
      </w:tr>
      <w:tr w:rsidR="00814AA2" w:rsidRPr="00814AA2">
        <w:tc>
          <w:tcPr>
            <w:tcW w:w="817" w:type="dxa"/>
            <w:tcBorders>
              <w:top w:val="single" w:sz="4" w:space="0" w:color="auto"/>
              <w:left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1.3</w:t>
            </w:r>
          </w:p>
        </w:tc>
        <w:tc>
          <w:tcPr>
            <w:tcW w:w="8220" w:type="dxa"/>
            <w:tcBorders>
              <w:top w:val="single" w:sz="4" w:space="0" w:color="auto"/>
              <w:left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1.4</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градостроительного плана земельного участка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1.5</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Согласование проведения переустройства и (или) перепланировки помещения в многоквартирном доме</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1.6</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Присвоение адреса объекту адресации, изменение и аннулирование такого адреса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1.7</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Перевод жилого помещения в нежилое помещение и нежилого помещения в жилое помещение</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1.8</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184700">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Прием заявлений и выдача документов о согласовании проектов границ земельных участков</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1.9</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6A24F0" w:rsidP="00814AA2">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9218E4" w:rsidRPr="00814AA2">
              <w:rPr>
                <w:rFonts w:eastAsiaTheme="minorHAnsi"/>
                <w:bCs/>
                <w:sz w:val="24"/>
                <w:szCs w:val="24"/>
                <w:lang w:eastAsia="en-US"/>
              </w:rPr>
              <w:t xml:space="preserve"> </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1.10</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184700">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Предварительное согласование предоставления земельного участка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1.11</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A94CB9">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Утверждение схемы расположения земельного участка или земельных участков на кадастровом плане территории</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184700"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1.12</w:t>
            </w:r>
          </w:p>
        </w:tc>
        <w:tc>
          <w:tcPr>
            <w:tcW w:w="8220" w:type="dxa"/>
            <w:tcBorders>
              <w:top w:val="single" w:sz="4" w:space="0" w:color="auto"/>
              <w:left w:val="single" w:sz="4" w:space="0" w:color="auto"/>
              <w:bottom w:val="single" w:sz="4" w:space="0" w:color="auto"/>
              <w:right w:val="single" w:sz="4" w:space="0" w:color="auto"/>
            </w:tcBorders>
          </w:tcPr>
          <w:p w:rsidR="00184700" w:rsidRPr="00814AA2" w:rsidRDefault="00184700" w:rsidP="00814AA2">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Предоставление юридическим и физическим лицам земельных участков в аренду, собственность за плату</w:t>
            </w:r>
            <w:r w:rsidR="00814AA2" w:rsidRPr="00814AA2">
              <w:rPr>
                <w:rFonts w:eastAsiaTheme="minorHAnsi"/>
                <w:bCs/>
                <w:sz w:val="24"/>
                <w:szCs w:val="24"/>
                <w:lang w:eastAsia="en-US"/>
              </w:rPr>
              <w:t xml:space="preserve"> </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724D57" w:rsidRPr="00814AA2" w:rsidRDefault="00724D57"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val="en-US" w:eastAsia="en-US"/>
              </w:rPr>
              <w:lastRenderedPageBreak/>
              <w:t>1</w:t>
            </w:r>
            <w:r w:rsidR="00000F54" w:rsidRPr="00814AA2">
              <w:rPr>
                <w:rFonts w:eastAsiaTheme="minorHAnsi"/>
                <w:bCs/>
                <w:sz w:val="24"/>
                <w:szCs w:val="24"/>
                <w:lang w:eastAsia="en-US"/>
              </w:rPr>
              <w:t>.13</w:t>
            </w:r>
          </w:p>
        </w:tc>
        <w:tc>
          <w:tcPr>
            <w:tcW w:w="8220" w:type="dxa"/>
            <w:tcBorders>
              <w:top w:val="single" w:sz="4" w:space="0" w:color="auto"/>
              <w:left w:val="single" w:sz="4" w:space="0" w:color="auto"/>
              <w:bottom w:val="single" w:sz="4" w:space="0" w:color="auto"/>
              <w:right w:val="single" w:sz="4" w:space="0" w:color="auto"/>
            </w:tcBorders>
          </w:tcPr>
          <w:p w:rsidR="00724D57" w:rsidRPr="00814AA2" w:rsidRDefault="00AD6614" w:rsidP="00123486">
            <w:pPr>
              <w:autoSpaceDE w:val="0"/>
              <w:autoSpaceDN w:val="0"/>
              <w:adjustRightInd w:val="0"/>
              <w:jc w:val="both"/>
              <w:rPr>
                <w:rFonts w:eastAsiaTheme="minorHAnsi"/>
                <w:sz w:val="24"/>
                <w:szCs w:val="24"/>
                <w:highlight w:val="yellow"/>
                <w:lang w:eastAsia="en-US"/>
              </w:rPr>
            </w:pPr>
            <w:r w:rsidRPr="00814AA2">
              <w:rPr>
                <w:rFonts w:eastAsiaTheme="minorHAnsi"/>
                <w:sz w:val="24"/>
                <w:szCs w:val="24"/>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AD66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1.14</w:t>
            </w:r>
          </w:p>
        </w:tc>
        <w:tc>
          <w:tcPr>
            <w:tcW w:w="8220" w:type="dxa"/>
            <w:tcBorders>
              <w:top w:val="single" w:sz="4" w:space="0" w:color="auto"/>
              <w:left w:val="single" w:sz="4" w:space="0" w:color="auto"/>
              <w:bottom w:val="single" w:sz="4" w:space="0" w:color="auto"/>
              <w:right w:val="single" w:sz="4" w:space="0" w:color="auto"/>
            </w:tcBorders>
          </w:tcPr>
          <w:p w:rsidR="00AD6614" w:rsidRPr="00814AA2" w:rsidRDefault="00AD6614">
            <w:pPr>
              <w:autoSpaceDE w:val="0"/>
              <w:autoSpaceDN w:val="0"/>
              <w:adjustRightInd w:val="0"/>
              <w:jc w:val="both"/>
              <w:rPr>
                <w:rFonts w:eastAsiaTheme="minorHAnsi"/>
                <w:sz w:val="24"/>
                <w:szCs w:val="24"/>
                <w:lang w:eastAsia="en-US"/>
              </w:rPr>
            </w:pPr>
            <w:r w:rsidRPr="00814AA2">
              <w:rPr>
                <w:rFonts w:eastAsiaTheme="minorHAnsi"/>
                <w:sz w:val="24"/>
                <w:szCs w:val="24"/>
                <w:lang w:eastAsia="en-US"/>
              </w:rPr>
              <w:t xml:space="preserve">Предоставление разрешения на осуществление земляных работ </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1.15</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sz w:val="24"/>
                <w:szCs w:val="24"/>
                <w:lang w:eastAsia="en-US"/>
              </w:rPr>
            </w:pPr>
            <w:r w:rsidRPr="00814AA2">
              <w:rPr>
                <w:rFonts w:eastAsiaTheme="minorHAnsi"/>
                <w:sz w:val="24"/>
                <w:szCs w:val="24"/>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1.16</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1.17</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Предоставление гражданам в безвозмездное пользование земельных участков, государственная собственность на которые не разграничена, или находящихся в собственности муниципального образования «Город Магадан», расположенных на территориях, входящих в состав Дальневосточного федерального округа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1.18</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Предоставление земельного участка, находящегося в муниципальной собственности</w:t>
            </w:r>
            <w:r w:rsidR="003244C3" w:rsidRPr="00814AA2">
              <w:rPr>
                <w:rFonts w:eastAsia="Calibri"/>
                <w:sz w:val="24"/>
                <w:szCs w:val="24"/>
                <w:lang w:eastAsia="en-US"/>
              </w:rPr>
              <w:t>,</w:t>
            </w:r>
            <w:r w:rsidRPr="00814AA2">
              <w:rPr>
                <w:rFonts w:eastAsia="Calibri"/>
                <w:sz w:val="24"/>
                <w:szCs w:val="24"/>
                <w:lang w:eastAsia="en-US"/>
              </w:rPr>
              <w:t xml:space="preserve"> или государственная собственность на который не разграничена, на торгах</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1.19</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C572B2">
            <w:pPr>
              <w:autoSpaceDE w:val="0"/>
              <w:autoSpaceDN w:val="0"/>
              <w:adjustRightInd w:val="0"/>
              <w:jc w:val="both"/>
              <w:rPr>
                <w:rFonts w:eastAsiaTheme="minorHAnsi"/>
                <w:bCs/>
                <w:sz w:val="24"/>
                <w:szCs w:val="24"/>
                <w:lang w:eastAsia="en-US"/>
              </w:rPr>
            </w:pPr>
            <w:r w:rsidRPr="00814AA2">
              <w:rPr>
                <w:rFonts w:eastAsia="Calibri"/>
                <w:sz w:val="24"/>
                <w:szCs w:val="24"/>
                <w:lang w:eastAsia="en-US"/>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1.20</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0A0BAF">
            <w:pPr>
              <w:autoSpaceDE w:val="0"/>
              <w:autoSpaceDN w:val="0"/>
              <w:adjustRightInd w:val="0"/>
              <w:jc w:val="both"/>
              <w:rPr>
                <w:rFonts w:eastAsiaTheme="minorHAnsi"/>
                <w:bCs/>
                <w:sz w:val="24"/>
                <w:szCs w:val="24"/>
                <w:lang w:eastAsia="en-US"/>
              </w:rPr>
            </w:pPr>
            <w:r w:rsidRPr="00814AA2">
              <w:rPr>
                <w:rFonts w:eastAsia="Calibri"/>
                <w:sz w:val="24"/>
                <w:szCs w:val="24"/>
                <w:lang w:eastAsia="en-US"/>
              </w:rPr>
              <w:t xml:space="preserve">Изменение вида разрешенного использования земельного участка, находящегося в государственной или муниципальной собственности </w:t>
            </w:r>
          </w:p>
        </w:tc>
      </w:tr>
      <w:tr w:rsidR="00814AA2" w:rsidRPr="00814AA2" w:rsidTr="000855AB">
        <w:trPr>
          <w:trHeight w:val="543"/>
        </w:trPr>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814AA2" w:rsidP="00401C06">
            <w:pPr>
              <w:autoSpaceDE w:val="0"/>
              <w:autoSpaceDN w:val="0"/>
              <w:adjustRightInd w:val="0"/>
              <w:jc w:val="both"/>
              <w:rPr>
                <w:rFonts w:eastAsiaTheme="minorHAnsi"/>
                <w:sz w:val="24"/>
                <w:lang w:eastAsia="en-US"/>
              </w:rPr>
            </w:pPr>
            <w:r w:rsidRPr="00814AA2">
              <w:rPr>
                <w:rFonts w:eastAsiaTheme="minorHAnsi"/>
                <w:sz w:val="24"/>
                <w:lang w:eastAsia="en-US"/>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1.22</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Предоставление решения о согласовании архитектурно-градостроительного облика объекта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1.23</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1.24</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1.25</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1.26</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1.27</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 xml:space="preserve">Установка информационной вывески, согласование дизайн-проекта </w:t>
            </w:r>
            <w:r w:rsidRPr="00814AA2">
              <w:rPr>
                <w:rFonts w:eastAsia="Calibri"/>
                <w:sz w:val="24"/>
                <w:szCs w:val="24"/>
                <w:lang w:eastAsia="en-US"/>
              </w:rPr>
              <w:lastRenderedPageBreak/>
              <w:t>размещения вывески</w:t>
            </w:r>
          </w:p>
        </w:tc>
      </w:tr>
      <w:tr w:rsidR="00814AA2" w:rsidRPr="00814AA2">
        <w:tc>
          <w:tcPr>
            <w:tcW w:w="9037" w:type="dxa"/>
            <w:gridSpan w:val="2"/>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center"/>
              <w:outlineLvl w:val="0"/>
              <w:rPr>
                <w:rFonts w:eastAsiaTheme="minorHAnsi"/>
                <w:bCs/>
                <w:sz w:val="24"/>
                <w:szCs w:val="24"/>
                <w:lang w:eastAsia="en-US"/>
              </w:rPr>
            </w:pPr>
            <w:r w:rsidRPr="00814AA2">
              <w:rPr>
                <w:rFonts w:eastAsiaTheme="minorHAnsi"/>
                <w:bCs/>
                <w:sz w:val="24"/>
                <w:szCs w:val="24"/>
                <w:lang w:eastAsia="en-US"/>
              </w:rPr>
              <w:lastRenderedPageBreak/>
              <w:t>2. Департамент имущественных и жилищных отношений мэрии города Магадана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2.1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Предоставление в аренду муниципального имущества (кроме земельных участков)</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2.2</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Предоставление информации об объектах учета, содержащейся в реестре имущества Магаданской области, об объектах учета из реестра муниципального имущества</w:t>
            </w:r>
          </w:p>
        </w:tc>
      </w:tr>
      <w:tr w:rsidR="00814AA2" w:rsidRPr="00814AA2" w:rsidTr="00C052E9">
        <w:tc>
          <w:tcPr>
            <w:tcW w:w="817"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right"/>
              <w:rPr>
                <w:rFonts w:eastAsiaTheme="minorHAnsi"/>
                <w:bCs/>
                <w:sz w:val="24"/>
                <w:szCs w:val="24"/>
                <w:lang w:eastAsia="en-US"/>
              </w:rPr>
            </w:pPr>
          </w:p>
        </w:tc>
        <w:tc>
          <w:tcPr>
            <w:tcW w:w="8220" w:type="dxa"/>
            <w:tcBorders>
              <w:top w:val="single" w:sz="4" w:space="0" w:color="auto"/>
              <w:left w:val="single" w:sz="4" w:space="0" w:color="auto"/>
              <w:right w:val="single" w:sz="4" w:space="0" w:color="auto"/>
            </w:tcBorders>
          </w:tcPr>
          <w:p w:rsidR="00636414" w:rsidRPr="00814AA2" w:rsidRDefault="00636414" w:rsidP="00636414">
            <w:pPr>
              <w:autoSpaceDE w:val="0"/>
              <w:autoSpaceDN w:val="0"/>
              <w:adjustRightInd w:val="0"/>
              <w:jc w:val="center"/>
              <w:outlineLvl w:val="0"/>
              <w:rPr>
                <w:rFonts w:eastAsiaTheme="minorHAnsi"/>
                <w:bCs/>
                <w:sz w:val="24"/>
                <w:szCs w:val="24"/>
                <w:lang w:eastAsia="en-US"/>
              </w:rPr>
            </w:pPr>
            <w:r w:rsidRPr="00814AA2">
              <w:rPr>
                <w:rFonts w:eastAsiaTheme="minorHAnsi"/>
                <w:bCs/>
                <w:sz w:val="24"/>
                <w:szCs w:val="24"/>
                <w:lang w:eastAsia="en-US"/>
              </w:rPr>
              <w:t>3. МБУ города Магадана «Горжилсервис»</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Передача в собственность граждан занимаемых ими жилых помещений жилищного фонда (приватизация жилищного фонда)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3.2</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Сбор, обработка, оформление документов по постановке на учет граждан, нуждающихся в улучшении жилищных условий и по ведению учета таких граждан в соответствии с требованиями жилищного законодательства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3.3</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Сбор документов по вселению в жилые помещения и изменение договоров социального найма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3.4</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Сбор, обработка, оформление документов по предоставлению жилья, в том числе выдача правоустанавливающих документов (договоры социального найма,  договоры найма специализированных жилых помещений, договоры найма муниципальных жилых помещений, договоры найма помещений государственного жилищного фонда коммерческого использования, договоры найма помещений государственного жилищного фонда социального использования, договоры найма жилых помещений)</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3.5</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Прием и передача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3.6</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Меры по оказанию государственной поддержки гражданам при приобретении (строительстве) жилья</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3.7</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Меры по оказанию государственной поддержки гражданам при приобретении (строительстве) жилья (дополнительная выплата)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3.8</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3.9</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Переселение граждан из домов, признанных аварийными и подлежащих сносу или реконструкции</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3.10</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sz w:val="24"/>
                <w:szCs w:val="24"/>
                <w:lang w:eastAsia="en-US"/>
              </w:rPr>
            </w:pPr>
            <w:r w:rsidRPr="00814AA2">
              <w:rPr>
                <w:rFonts w:eastAsiaTheme="minorHAnsi"/>
                <w:sz w:val="24"/>
                <w:szCs w:val="24"/>
                <w:lang w:eastAsia="en-US"/>
              </w:rPr>
              <w:t>Принятие на учет граждан в качестве нуждающихся в жилых помещениях</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3.11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sz w:val="24"/>
                <w:szCs w:val="24"/>
                <w:lang w:eastAsia="en-US"/>
              </w:rPr>
            </w:pPr>
            <w:r w:rsidRPr="00814AA2">
              <w:rPr>
                <w:rFonts w:eastAsiaTheme="minorHAnsi"/>
                <w:sz w:val="24"/>
                <w:szCs w:val="24"/>
                <w:lang w:eastAsia="en-US"/>
              </w:rPr>
              <w:t>Предоставление жилого помещения по договору социального найма</w:t>
            </w:r>
          </w:p>
        </w:tc>
      </w:tr>
      <w:tr w:rsidR="00814AA2" w:rsidRPr="00814AA2" w:rsidTr="00573256">
        <w:tc>
          <w:tcPr>
            <w:tcW w:w="9037" w:type="dxa"/>
            <w:gridSpan w:val="2"/>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4. Комитет по работе с хозяйствующими субъектами мэрии города Магадана</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636414"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4</w:t>
            </w:r>
            <w:r w:rsidR="008813C6" w:rsidRPr="00814AA2">
              <w:rPr>
                <w:rFonts w:eastAsiaTheme="minorHAnsi"/>
                <w:bCs/>
                <w:sz w:val="24"/>
                <w:szCs w:val="24"/>
                <w:lang w:eastAsia="en-US"/>
              </w:rPr>
              <w:t>.1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 xml:space="preserve">Выдача разрешительных удостоверений на право торговли (оказания услуг </w:t>
            </w:r>
            <w:r w:rsidRPr="00814AA2">
              <w:rPr>
                <w:rFonts w:eastAsiaTheme="minorHAnsi"/>
                <w:bCs/>
                <w:sz w:val="24"/>
                <w:szCs w:val="24"/>
                <w:lang w:eastAsia="en-US"/>
              </w:rPr>
              <w:lastRenderedPageBreak/>
              <w:t>общественного питания) с временных торговых точек на территории муниципального образования «Город Магадан»</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636414"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lastRenderedPageBreak/>
              <w:t>4</w:t>
            </w:r>
            <w:r w:rsidR="008813C6" w:rsidRPr="00814AA2">
              <w:rPr>
                <w:rFonts w:eastAsiaTheme="minorHAnsi"/>
                <w:bCs/>
                <w:sz w:val="24"/>
                <w:szCs w:val="24"/>
                <w:lang w:eastAsia="en-US"/>
              </w:rPr>
              <w:t>.2</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переоформление, продление срока действия разрешения на право организации розничного рынка на территории муниципального образования «Город Магадан»</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4.3</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Выдача выписки из похозяйственной книги учета личных подсобных хозяйств муниципального образования «Город Магадан» и рекомендации (ходатайства)</w:t>
            </w:r>
          </w:p>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в банковские учреждения</w:t>
            </w:r>
          </w:p>
        </w:tc>
      </w:tr>
      <w:tr w:rsidR="00814AA2" w:rsidRPr="00814AA2">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4.4</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814AA2" w:rsidRPr="00814AA2">
        <w:tc>
          <w:tcPr>
            <w:tcW w:w="9037" w:type="dxa"/>
            <w:gridSpan w:val="2"/>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center"/>
              <w:outlineLvl w:val="0"/>
              <w:rPr>
                <w:rFonts w:eastAsiaTheme="minorHAnsi"/>
                <w:bCs/>
                <w:sz w:val="24"/>
                <w:szCs w:val="24"/>
                <w:lang w:eastAsia="en-US"/>
              </w:rPr>
            </w:pPr>
            <w:r w:rsidRPr="00814AA2">
              <w:rPr>
                <w:rFonts w:eastAsiaTheme="minorHAnsi"/>
                <w:bCs/>
                <w:sz w:val="24"/>
                <w:szCs w:val="24"/>
                <w:lang w:eastAsia="en-US"/>
              </w:rPr>
              <w:t>5. Департамент образования мэрии города Магадана</w:t>
            </w:r>
          </w:p>
        </w:tc>
      </w:tr>
      <w:tr w:rsidR="00814AA2" w:rsidRPr="00814AA2">
        <w:tc>
          <w:tcPr>
            <w:tcW w:w="817" w:type="dxa"/>
            <w:tcBorders>
              <w:top w:val="single" w:sz="4" w:space="0" w:color="auto"/>
              <w:left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5.1</w:t>
            </w:r>
          </w:p>
        </w:tc>
        <w:tc>
          <w:tcPr>
            <w:tcW w:w="8220" w:type="dxa"/>
            <w:tcBorders>
              <w:top w:val="single" w:sz="4" w:space="0" w:color="auto"/>
              <w:left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Постановка на учет и направление дет</w:t>
            </w:r>
            <w:r w:rsidR="00612DD4" w:rsidRPr="00814AA2">
              <w:rPr>
                <w:rFonts w:eastAsiaTheme="minorHAnsi"/>
                <w:bCs/>
                <w:sz w:val="24"/>
                <w:szCs w:val="24"/>
                <w:lang w:eastAsia="en-US"/>
              </w:rPr>
              <w:t>ей в образовательные учреждения</w:t>
            </w:r>
            <w:r w:rsidRPr="00814AA2">
              <w:rPr>
                <w:rFonts w:eastAsiaTheme="minorHAnsi"/>
                <w:bCs/>
                <w:sz w:val="24"/>
                <w:szCs w:val="24"/>
                <w:lang w:eastAsia="en-US"/>
              </w:rPr>
              <w:t>, реализующие образовательные программы дошкольного образования</w:t>
            </w:r>
          </w:p>
        </w:tc>
      </w:tr>
      <w:tr w:rsidR="00814AA2" w:rsidRPr="00814AA2">
        <w:tc>
          <w:tcPr>
            <w:tcW w:w="9037" w:type="dxa"/>
            <w:gridSpan w:val="2"/>
            <w:tcBorders>
              <w:top w:val="single" w:sz="4" w:space="0" w:color="auto"/>
              <w:left w:val="single" w:sz="4" w:space="0" w:color="auto"/>
              <w:bottom w:val="single" w:sz="4" w:space="0" w:color="auto"/>
              <w:right w:val="single" w:sz="4" w:space="0" w:color="auto"/>
            </w:tcBorders>
          </w:tcPr>
          <w:p w:rsidR="00636414" w:rsidRPr="00814AA2" w:rsidRDefault="00636414" w:rsidP="001E2713">
            <w:pPr>
              <w:autoSpaceDE w:val="0"/>
              <w:autoSpaceDN w:val="0"/>
              <w:adjustRightInd w:val="0"/>
              <w:jc w:val="center"/>
              <w:outlineLvl w:val="0"/>
              <w:rPr>
                <w:rFonts w:eastAsiaTheme="minorHAnsi"/>
                <w:bCs/>
                <w:sz w:val="24"/>
                <w:szCs w:val="24"/>
                <w:lang w:eastAsia="en-US"/>
              </w:rPr>
            </w:pPr>
            <w:r w:rsidRPr="00814AA2">
              <w:rPr>
                <w:rFonts w:eastAsiaTheme="minorHAnsi"/>
                <w:bCs/>
                <w:sz w:val="24"/>
                <w:szCs w:val="24"/>
                <w:lang w:eastAsia="en-US"/>
              </w:rPr>
              <w:t xml:space="preserve">6. Департамент </w:t>
            </w:r>
            <w:r w:rsidR="001E2713" w:rsidRPr="00814AA2">
              <w:rPr>
                <w:rFonts w:eastAsiaTheme="minorHAnsi"/>
                <w:bCs/>
                <w:sz w:val="24"/>
                <w:szCs w:val="24"/>
                <w:lang w:eastAsia="en-US"/>
              </w:rPr>
              <w:t>жилищно-коммунального хозяйства и коммунальной инфраструктуры</w:t>
            </w:r>
            <w:r w:rsidRPr="00814AA2">
              <w:rPr>
                <w:rFonts w:eastAsiaTheme="minorHAnsi"/>
                <w:bCs/>
                <w:sz w:val="24"/>
                <w:szCs w:val="24"/>
                <w:lang w:eastAsia="en-US"/>
              </w:rPr>
              <w:t xml:space="preserve"> мэрии города Магадана</w:t>
            </w:r>
          </w:p>
        </w:tc>
      </w:tr>
      <w:tr w:rsidR="00814AA2" w:rsidRPr="00814AA2" w:rsidTr="00414A7F">
        <w:trPr>
          <w:trHeight w:val="839"/>
        </w:trPr>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6.1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Theme="minorHAnsi"/>
                <w:bCs/>
                <w:sz w:val="24"/>
                <w:szCs w:val="24"/>
                <w:lang w:eastAsia="en-US"/>
              </w:rPr>
              <w:t>Установление размера платы за содержание жилого помещения в многоквартирном доме, собственники которого на общем собрании не приняли решение об установлении такого размера</w:t>
            </w:r>
          </w:p>
        </w:tc>
      </w:tr>
      <w:tr w:rsidR="00814AA2" w:rsidRPr="00814AA2" w:rsidTr="00F046EA">
        <w:trPr>
          <w:trHeight w:val="189"/>
        </w:trPr>
        <w:tc>
          <w:tcPr>
            <w:tcW w:w="9037" w:type="dxa"/>
            <w:gridSpan w:val="2"/>
            <w:tcBorders>
              <w:top w:val="single" w:sz="4" w:space="0" w:color="auto"/>
              <w:left w:val="single" w:sz="4" w:space="0" w:color="auto"/>
              <w:right w:val="single" w:sz="4" w:space="0" w:color="auto"/>
            </w:tcBorders>
          </w:tcPr>
          <w:p w:rsidR="00636414" w:rsidRPr="00814AA2" w:rsidRDefault="00636414" w:rsidP="00636414">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7.</w:t>
            </w:r>
            <w:r w:rsidR="00123486" w:rsidRPr="00814AA2">
              <w:rPr>
                <w:rFonts w:eastAsiaTheme="minorHAnsi"/>
                <w:bCs/>
                <w:sz w:val="24"/>
                <w:szCs w:val="24"/>
                <w:lang w:eastAsia="en-US"/>
              </w:rPr>
              <w:t xml:space="preserve"> </w:t>
            </w:r>
            <w:r w:rsidRPr="00814AA2">
              <w:rPr>
                <w:rFonts w:eastAsiaTheme="minorHAnsi"/>
                <w:bCs/>
                <w:sz w:val="24"/>
                <w:szCs w:val="24"/>
                <w:lang w:eastAsia="en-US"/>
              </w:rPr>
              <w:t>Отдел охраны здоровья мэрии города Магадана</w:t>
            </w:r>
          </w:p>
        </w:tc>
      </w:tr>
      <w:tr w:rsidR="00814AA2" w:rsidRPr="00814AA2" w:rsidTr="00184700">
        <w:tc>
          <w:tcPr>
            <w:tcW w:w="817" w:type="dxa"/>
            <w:tcBorders>
              <w:top w:val="single" w:sz="4" w:space="0" w:color="auto"/>
              <w:left w:val="single" w:sz="4" w:space="0" w:color="auto"/>
              <w:bottom w:val="single" w:sz="4" w:space="0" w:color="auto"/>
              <w:right w:val="single" w:sz="4" w:space="0" w:color="auto"/>
            </w:tcBorders>
          </w:tcPr>
          <w:p w:rsidR="00636414" w:rsidRPr="00814AA2" w:rsidRDefault="008813C6" w:rsidP="00123486">
            <w:pPr>
              <w:autoSpaceDE w:val="0"/>
              <w:autoSpaceDN w:val="0"/>
              <w:adjustRightInd w:val="0"/>
              <w:jc w:val="center"/>
              <w:rPr>
                <w:rFonts w:eastAsiaTheme="minorHAnsi"/>
                <w:bCs/>
                <w:sz w:val="24"/>
                <w:szCs w:val="24"/>
                <w:lang w:eastAsia="en-US"/>
              </w:rPr>
            </w:pPr>
            <w:r w:rsidRPr="00814AA2">
              <w:rPr>
                <w:rFonts w:eastAsiaTheme="minorHAnsi"/>
                <w:bCs/>
                <w:sz w:val="24"/>
                <w:szCs w:val="24"/>
                <w:lang w:eastAsia="en-US"/>
              </w:rPr>
              <w:t>7.1</w:t>
            </w:r>
          </w:p>
        </w:tc>
        <w:tc>
          <w:tcPr>
            <w:tcW w:w="8220" w:type="dxa"/>
            <w:tcBorders>
              <w:top w:val="single" w:sz="4" w:space="0" w:color="auto"/>
              <w:left w:val="single" w:sz="4" w:space="0" w:color="auto"/>
              <w:bottom w:val="single" w:sz="4" w:space="0" w:color="auto"/>
              <w:right w:val="single" w:sz="4" w:space="0" w:color="auto"/>
            </w:tcBorders>
          </w:tcPr>
          <w:p w:rsidR="00636414" w:rsidRPr="00814AA2" w:rsidRDefault="00636414" w:rsidP="00636414">
            <w:pPr>
              <w:autoSpaceDE w:val="0"/>
              <w:autoSpaceDN w:val="0"/>
              <w:adjustRightInd w:val="0"/>
              <w:jc w:val="both"/>
              <w:rPr>
                <w:rFonts w:eastAsiaTheme="minorHAnsi"/>
                <w:bCs/>
                <w:sz w:val="24"/>
                <w:szCs w:val="24"/>
                <w:lang w:eastAsia="en-US"/>
              </w:rPr>
            </w:pPr>
            <w:r w:rsidRPr="00814AA2">
              <w:rPr>
                <w:rFonts w:eastAsia="Calibri"/>
                <w:sz w:val="24"/>
                <w:szCs w:val="24"/>
                <w:lang w:eastAsia="en-US"/>
              </w:rPr>
              <w:t>Назначение опекуном (попечителем), выдача заключения о возможности быть опекуном (попечителем) совершеннолетнего недееспособного (не полностью дееспособного) гражданина</w:t>
            </w:r>
          </w:p>
        </w:tc>
      </w:tr>
    </w:tbl>
    <w:p w:rsidR="00184700" w:rsidRPr="00814AA2" w:rsidRDefault="00184700" w:rsidP="00602B54">
      <w:pPr>
        <w:pStyle w:val="1"/>
        <w:widowControl/>
        <w:overflowPunct/>
        <w:autoSpaceDE/>
        <w:autoSpaceDN/>
        <w:adjustRightInd/>
        <w:spacing w:line="240" w:lineRule="auto"/>
        <w:jc w:val="center"/>
        <w:textAlignment w:val="auto"/>
        <w:rPr>
          <w:rFonts w:ascii="Times New Roman" w:hAnsi="Times New Roman"/>
          <w:iCs/>
        </w:rPr>
      </w:pPr>
    </w:p>
    <w:p w:rsidR="00555CF6" w:rsidRPr="00814AA2" w:rsidRDefault="00555CF6" w:rsidP="00555CF6"/>
    <w:p w:rsidR="00184700" w:rsidRPr="00814AA2" w:rsidRDefault="00184700" w:rsidP="00184700"/>
    <w:p w:rsidR="00184700" w:rsidRPr="00814AA2" w:rsidRDefault="00184700" w:rsidP="00184700">
      <w:pPr>
        <w:jc w:val="center"/>
      </w:pPr>
      <w:r w:rsidRPr="00814AA2">
        <w:t>_______________</w:t>
      </w:r>
    </w:p>
    <w:p w:rsidR="00184700" w:rsidRPr="00814AA2" w:rsidRDefault="00184700" w:rsidP="00602B54">
      <w:pPr>
        <w:pStyle w:val="1"/>
        <w:widowControl/>
        <w:overflowPunct/>
        <w:autoSpaceDE/>
        <w:autoSpaceDN/>
        <w:adjustRightInd/>
        <w:spacing w:line="240" w:lineRule="auto"/>
        <w:jc w:val="center"/>
        <w:textAlignment w:val="auto"/>
        <w:rPr>
          <w:rFonts w:ascii="Times New Roman" w:hAnsi="Times New Roman"/>
          <w:iCs/>
        </w:rPr>
      </w:pPr>
    </w:p>
    <w:p w:rsidR="00EF520C" w:rsidRPr="00814AA2" w:rsidRDefault="0039120E" w:rsidP="00602B54">
      <w:pPr>
        <w:pStyle w:val="1"/>
        <w:widowControl/>
        <w:overflowPunct/>
        <w:autoSpaceDE/>
        <w:autoSpaceDN/>
        <w:adjustRightInd/>
        <w:spacing w:line="240" w:lineRule="auto"/>
        <w:jc w:val="center"/>
        <w:textAlignment w:val="auto"/>
        <w:rPr>
          <w:rFonts w:ascii="Times New Roman" w:hAnsi="Times New Roman"/>
          <w:iCs/>
        </w:rPr>
      </w:pPr>
      <w:r w:rsidRPr="00814AA2">
        <w:rPr>
          <w:rFonts w:ascii="Times New Roman" w:hAnsi="Times New Roman"/>
          <w:iCs/>
        </w:rPr>
        <w:t xml:space="preserve">                                             </w:t>
      </w:r>
      <w:r w:rsidR="00BD6689" w:rsidRPr="00814AA2">
        <w:rPr>
          <w:rFonts w:ascii="Times New Roman" w:hAnsi="Times New Roman"/>
          <w:iCs/>
        </w:rPr>
        <w:t xml:space="preserve">           </w:t>
      </w:r>
      <w:r w:rsidRPr="00814AA2">
        <w:rPr>
          <w:bCs/>
          <w:sz w:val="28"/>
          <w:szCs w:val="28"/>
        </w:rPr>
        <w:t xml:space="preserve">                                     </w:t>
      </w:r>
    </w:p>
    <w:p w:rsidR="00602B54" w:rsidRPr="00814AA2" w:rsidRDefault="00602B54" w:rsidP="00E303A3">
      <w:pPr>
        <w:widowControl w:val="0"/>
        <w:autoSpaceDE w:val="0"/>
        <w:autoSpaceDN w:val="0"/>
        <w:adjustRightInd w:val="0"/>
        <w:ind w:firstLine="540"/>
        <w:jc w:val="center"/>
        <w:rPr>
          <w:sz w:val="28"/>
          <w:szCs w:val="28"/>
        </w:rPr>
      </w:pPr>
    </w:p>
    <w:p w:rsidR="00EF6ECC" w:rsidRPr="00814AA2" w:rsidRDefault="00EF6ECC" w:rsidP="00EF6ECC">
      <w:pPr>
        <w:pStyle w:val="1"/>
        <w:widowControl/>
        <w:overflowPunct/>
        <w:autoSpaceDE/>
        <w:autoSpaceDN/>
        <w:adjustRightInd/>
        <w:spacing w:line="240" w:lineRule="auto"/>
        <w:textAlignment w:val="auto"/>
        <w:rPr>
          <w:rFonts w:ascii="Times New Roman" w:hAnsi="Times New Roman"/>
          <w:iCs/>
          <w:sz w:val="28"/>
          <w:szCs w:val="28"/>
        </w:rPr>
      </w:pPr>
    </w:p>
    <w:sectPr w:rsidR="00EF6ECC" w:rsidRPr="00814AA2" w:rsidSect="00184700">
      <w:headerReference w:type="default" r:id="rId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F4" w:rsidRDefault="006E3CF4" w:rsidP="0069355A">
      <w:r>
        <w:separator/>
      </w:r>
    </w:p>
  </w:endnote>
  <w:endnote w:type="continuationSeparator" w:id="0">
    <w:p w:rsidR="006E3CF4" w:rsidRDefault="006E3CF4" w:rsidP="006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F4" w:rsidRDefault="006E3CF4" w:rsidP="0069355A">
      <w:r>
        <w:separator/>
      </w:r>
    </w:p>
  </w:footnote>
  <w:footnote w:type="continuationSeparator" w:id="0">
    <w:p w:rsidR="006E3CF4" w:rsidRDefault="006E3CF4" w:rsidP="0069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855119"/>
      <w:docPartObj>
        <w:docPartGallery w:val="Page Numbers (Top of Page)"/>
        <w:docPartUnique/>
      </w:docPartObj>
    </w:sdtPr>
    <w:sdtEndPr/>
    <w:sdtContent>
      <w:p w:rsidR="00184700" w:rsidRDefault="00184700">
        <w:pPr>
          <w:pStyle w:val="a3"/>
          <w:jc w:val="center"/>
        </w:pPr>
        <w:r>
          <w:fldChar w:fldCharType="begin"/>
        </w:r>
        <w:r>
          <w:instrText>PAGE   \* MERGEFORMAT</w:instrText>
        </w:r>
        <w:r>
          <w:fldChar w:fldCharType="separate"/>
        </w:r>
        <w:r w:rsidR="00C42593">
          <w:rPr>
            <w:noProof/>
          </w:rPr>
          <w:t>2</w:t>
        </w:r>
        <w:r>
          <w:fldChar w:fldCharType="end"/>
        </w:r>
      </w:p>
    </w:sdtContent>
  </w:sdt>
  <w:p w:rsidR="00117AF3" w:rsidRDefault="00117A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7E3D"/>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94C6F"/>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6D014E"/>
    <w:multiLevelType w:val="hybridMultilevel"/>
    <w:tmpl w:val="1E9CD1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1C0DFF"/>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E7B70"/>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B59EA"/>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3E258A"/>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CD37DE"/>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731385"/>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256F90"/>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4A2626"/>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825600"/>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5C743A"/>
    <w:multiLevelType w:val="hybridMultilevel"/>
    <w:tmpl w:val="1AB0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E96651"/>
    <w:multiLevelType w:val="hybridMultilevel"/>
    <w:tmpl w:val="86EEE34A"/>
    <w:lvl w:ilvl="0" w:tplc="7BB665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4"/>
  </w:num>
  <w:num w:numId="5">
    <w:abstractNumId w:val="5"/>
  </w:num>
  <w:num w:numId="6">
    <w:abstractNumId w:val="12"/>
  </w:num>
  <w:num w:numId="7">
    <w:abstractNumId w:val="11"/>
  </w:num>
  <w:num w:numId="8">
    <w:abstractNumId w:val="6"/>
  </w:num>
  <w:num w:numId="9">
    <w:abstractNumId w:val="1"/>
  </w:num>
  <w:num w:numId="10">
    <w:abstractNumId w:val="7"/>
  </w:num>
  <w:num w:numId="11">
    <w:abstractNumId w:val="8"/>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6ECC"/>
    <w:rsid w:val="00000F54"/>
    <w:rsid w:val="000355B8"/>
    <w:rsid w:val="00065583"/>
    <w:rsid w:val="000855AB"/>
    <w:rsid w:val="000A0BAF"/>
    <w:rsid w:val="000A249E"/>
    <w:rsid w:val="000B79F9"/>
    <w:rsid w:val="000C0991"/>
    <w:rsid w:val="000D015D"/>
    <w:rsid w:val="000E19EC"/>
    <w:rsid w:val="000F6A38"/>
    <w:rsid w:val="00100B42"/>
    <w:rsid w:val="001043F7"/>
    <w:rsid w:val="0011295C"/>
    <w:rsid w:val="00117AF3"/>
    <w:rsid w:val="00121811"/>
    <w:rsid w:val="00123486"/>
    <w:rsid w:val="00140107"/>
    <w:rsid w:val="001443FE"/>
    <w:rsid w:val="001562F0"/>
    <w:rsid w:val="001737B0"/>
    <w:rsid w:val="001750EE"/>
    <w:rsid w:val="001811FC"/>
    <w:rsid w:val="00184700"/>
    <w:rsid w:val="00191D41"/>
    <w:rsid w:val="001B449A"/>
    <w:rsid w:val="001B4DB3"/>
    <w:rsid w:val="001C008F"/>
    <w:rsid w:val="001E16CA"/>
    <w:rsid w:val="001E2713"/>
    <w:rsid w:val="00230011"/>
    <w:rsid w:val="0025169D"/>
    <w:rsid w:val="002907ED"/>
    <w:rsid w:val="002A08F5"/>
    <w:rsid w:val="002A1AAE"/>
    <w:rsid w:val="002B0592"/>
    <w:rsid w:val="002B517F"/>
    <w:rsid w:val="002C4A18"/>
    <w:rsid w:val="002C7D6B"/>
    <w:rsid w:val="00304505"/>
    <w:rsid w:val="00304ED1"/>
    <w:rsid w:val="003244C3"/>
    <w:rsid w:val="003406A2"/>
    <w:rsid w:val="00352D11"/>
    <w:rsid w:val="00355559"/>
    <w:rsid w:val="0039120E"/>
    <w:rsid w:val="003A27D6"/>
    <w:rsid w:val="003C6C2E"/>
    <w:rsid w:val="003E1881"/>
    <w:rsid w:val="00401C06"/>
    <w:rsid w:val="00414A7F"/>
    <w:rsid w:val="004543EC"/>
    <w:rsid w:val="004715A1"/>
    <w:rsid w:val="00472C58"/>
    <w:rsid w:val="00481558"/>
    <w:rsid w:val="00484829"/>
    <w:rsid w:val="00487A03"/>
    <w:rsid w:val="00495FAA"/>
    <w:rsid w:val="004A6F02"/>
    <w:rsid w:val="004D7DF0"/>
    <w:rsid w:val="004E6B40"/>
    <w:rsid w:val="004F6683"/>
    <w:rsid w:val="00500B5E"/>
    <w:rsid w:val="005343F9"/>
    <w:rsid w:val="0054109C"/>
    <w:rsid w:val="00555CF6"/>
    <w:rsid w:val="0056712C"/>
    <w:rsid w:val="005C1DAB"/>
    <w:rsid w:val="00602B54"/>
    <w:rsid w:val="00612DD4"/>
    <w:rsid w:val="00636414"/>
    <w:rsid w:val="00655E20"/>
    <w:rsid w:val="00662D30"/>
    <w:rsid w:val="0069355A"/>
    <w:rsid w:val="006A24F0"/>
    <w:rsid w:val="006A6282"/>
    <w:rsid w:val="006A6D6D"/>
    <w:rsid w:val="006D1575"/>
    <w:rsid w:val="006D32B9"/>
    <w:rsid w:val="006E0742"/>
    <w:rsid w:val="006E158E"/>
    <w:rsid w:val="006E3CF4"/>
    <w:rsid w:val="00724D57"/>
    <w:rsid w:val="00732636"/>
    <w:rsid w:val="0076226E"/>
    <w:rsid w:val="007907A8"/>
    <w:rsid w:val="007A0192"/>
    <w:rsid w:val="007B3A80"/>
    <w:rsid w:val="00804FF2"/>
    <w:rsid w:val="00814AA2"/>
    <w:rsid w:val="008665A2"/>
    <w:rsid w:val="008813C6"/>
    <w:rsid w:val="00892CE3"/>
    <w:rsid w:val="008C0B45"/>
    <w:rsid w:val="008C14AC"/>
    <w:rsid w:val="008D768D"/>
    <w:rsid w:val="008E6A0C"/>
    <w:rsid w:val="00913927"/>
    <w:rsid w:val="009200B6"/>
    <w:rsid w:val="009218E4"/>
    <w:rsid w:val="009278BA"/>
    <w:rsid w:val="00936056"/>
    <w:rsid w:val="00950CB2"/>
    <w:rsid w:val="00963D84"/>
    <w:rsid w:val="00981C54"/>
    <w:rsid w:val="009842FE"/>
    <w:rsid w:val="0099546B"/>
    <w:rsid w:val="009A477C"/>
    <w:rsid w:val="009F2ABF"/>
    <w:rsid w:val="009F61B3"/>
    <w:rsid w:val="00A45CA8"/>
    <w:rsid w:val="00A6454E"/>
    <w:rsid w:val="00A64C70"/>
    <w:rsid w:val="00A70F24"/>
    <w:rsid w:val="00A8390A"/>
    <w:rsid w:val="00A87BA7"/>
    <w:rsid w:val="00A94CB9"/>
    <w:rsid w:val="00AB75A6"/>
    <w:rsid w:val="00AC093C"/>
    <w:rsid w:val="00AC36B4"/>
    <w:rsid w:val="00AD6614"/>
    <w:rsid w:val="00AE09C5"/>
    <w:rsid w:val="00AE3C10"/>
    <w:rsid w:val="00AF6BD8"/>
    <w:rsid w:val="00AF739A"/>
    <w:rsid w:val="00AF7AFB"/>
    <w:rsid w:val="00B20EC9"/>
    <w:rsid w:val="00B214CC"/>
    <w:rsid w:val="00B44BA6"/>
    <w:rsid w:val="00B45662"/>
    <w:rsid w:val="00B56F28"/>
    <w:rsid w:val="00B673AA"/>
    <w:rsid w:val="00BC286E"/>
    <w:rsid w:val="00BD6689"/>
    <w:rsid w:val="00C105C4"/>
    <w:rsid w:val="00C22B81"/>
    <w:rsid w:val="00C33D8D"/>
    <w:rsid w:val="00C42593"/>
    <w:rsid w:val="00C47DC7"/>
    <w:rsid w:val="00C572B2"/>
    <w:rsid w:val="00C75186"/>
    <w:rsid w:val="00C850B8"/>
    <w:rsid w:val="00C86E3E"/>
    <w:rsid w:val="00C90597"/>
    <w:rsid w:val="00CA0AE3"/>
    <w:rsid w:val="00CB16B3"/>
    <w:rsid w:val="00CE101A"/>
    <w:rsid w:val="00D24EE8"/>
    <w:rsid w:val="00D45346"/>
    <w:rsid w:val="00D770C8"/>
    <w:rsid w:val="00D87880"/>
    <w:rsid w:val="00DA1158"/>
    <w:rsid w:val="00DC603B"/>
    <w:rsid w:val="00DD52EA"/>
    <w:rsid w:val="00E303A3"/>
    <w:rsid w:val="00E73E6A"/>
    <w:rsid w:val="00E82FB9"/>
    <w:rsid w:val="00EB275F"/>
    <w:rsid w:val="00ED23A4"/>
    <w:rsid w:val="00EE2B73"/>
    <w:rsid w:val="00EE64C5"/>
    <w:rsid w:val="00EF520C"/>
    <w:rsid w:val="00EF6ECC"/>
    <w:rsid w:val="00F046EA"/>
    <w:rsid w:val="00F12CC6"/>
    <w:rsid w:val="00F63797"/>
    <w:rsid w:val="00FC27FB"/>
    <w:rsid w:val="00FD1BC1"/>
    <w:rsid w:val="00FF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27B"/>
  <w15:docId w15:val="{2B0D2236-1411-44B7-B362-25A0AFB9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E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6ECC"/>
    <w:pPr>
      <w:keepNext/>
      <w:widowControl w:val="0"/>
      <w:overflowPunct w:val="0"/>
      <w:autoSpaceDE w:val="0"/>
      <w:autoSpaceDN w:val="0"/>
      <w:adjustRightInd w:val="0"/>
      <w:spacing w:line="360" w:lineRule="auto"/>
      <w:jc w:val="both"/>
      <w:textAlignment w:val="baseline"/>
      <w:outlineLvl w:val="0"/>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ECC"/>
    <w:rPr>
      <w:rFonts w:ascii="Courier New" w:eastAsia="Times New Roman" w:hAnsi="Courier New" w:cs="Times New Roman"/>
      <w:b/>
      <w:sz w:val="24"/>
      <w:szCs w:val="20"/>
      <w:lang w:eastAsia="ru-RU"/>
    </w:rPr>
  </w:style>
  <w:style w:type="paragraph" w:styleId="a3">
    <w:name w:val="header"/>
    <w:basedOn w:val="a"/>
    <w:link w:val="a4"/>
    <w:uiPriority w:val="99"/>
    <w:unhideWhenUsed/>
    <w:rsid w:val="0069355A"/>
    <w:pPr>
      <w:tabs>
        <w:tab w:val="center" w:pos="4677"/>
        <w:tab w:val="right" w:pos="9355"/>
      </w:tabs>
    </w:pPr>
  </w:style>
  <w:style w:type="character" w:customStyle="1" w:styleId="a4">
    <w:name w:val="Верхний колонтитул Знак"/>
    <w:basedOn w:val="a0"/>
    <w:link w:val="a3"/>
    <w:uiPriority w:val="99"/>
    <w:rsid w:val="0069355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9355A"/>
    <w:pPr>
      <w:tabs>
        <w:tab w:val="center" w:pos="4677"/>
        <w:tab w:val="right" w:pos="9355"/>
      </w:tabs>
    </w:pPr>
  </w:style>
  <w:style w:type="character" w:customStyle="1" w:styleId="a6">
    <w:name w:val="Нижний колонтитул Знак"/>
    <w:basedOn w:val="a0"/>
    <w:link w:val="a5"/>
    <w:uiPriority w:val="99"/>
    <w:rsid w:val="0069355A"/>
    <w:rPr>
      <w:rFonts w:ascii="Times New Roman" w:eastAsia="Times New Roman" w:hAnsi="Times New Roman" w:cs="Times New Roman"/>
      <w:sz w:val="20"/>
      <w:szCs w:val="20"/>
      <w:lang w:eastAsia="ru-RU"/>
    </w:rPr>
  </w:style>
  <w:style w:type="paragraph" w:styleId="a7">
    <w:name w:val="List Paragraph"/>
    <w:basedOn w:val="a"/>
    <w:uiPriority w:val="34"/>
    <w:qFormat/>
    <w:rsid w:val="00E82FB9"/>
    <w:pPr>
      <w:widowControl w:val="0"/>
      <w:autoSpaceDE w:val="0"/>
      <w:autoSpaceDN w:val="0"/>
      <w:adjustRightInd w:val="0"/>
      <w:ind w:left="720"/>
      <w:contextualSpacing/>
    </w:pPr>
  </w:style>
  <w:style w:type="paragraph" w:styleId="a8">
    <w:name w:val="Normal (Web)"/>
    <w:basedOn w:val="a"/>
    <w:rsid w:val="00E303A3"/>
    <w:pPr>
      <w:spacing w:before="280" w:after="280" w:line="312" w:lineRule="atLeast"/>
    </w:pPr>
    <w:rPr>
      <w:rFonts w:ascii="Verdana" w:hAnsi="Verdana"/>
      <w:color w:val="000000"/>
      <w:sz w:val="24"/>
      <w:szCs w:val="24"/>
      <w:lang w:eastAsia="ar-SA"/>
    </w:rPr>
  </w:style>
  <w:style w:type="paragraph" w:styleId="a9">
    <w:name w:val="Balloon Text"/>
    <w:basedOn w:val="a"/>
    <w:link w:val="aa"/>
    <w:uiPriority w:val="99"/>
    <w:semiHidden/>
    <w:unhideWhenUsed/>
    <w:rsid w:val="00EE64C5"/>
    <w:rPr>
      <w:rFonts w:ascii="Segoe UI" w:hAnsi="Segoe UI" w:cs="Segoe UI"/>
      <w:sz w:val="18"/>
      <w:szCs w:val="18"/>
    </w:rPr>
  </w:style>
  <w:style w:type="character" w:customStyle="1" w:styleId="aa">
    <w:name w:val="Текст выноски Знак"/>
    <w:basedOn w:val="a0"/>
    <w:link w:val="a9"/>
    <w:uiPriority w:val="99"/>
    <w:semiHidden/>
    <w:rsid w:val="00EE64C5"/>
    <w:rPr>
      <w:rFonts w:ascii="Segoe UI" w:eastAsia="Times New Roman" w:hAnsi="Segoe UI" w:cs="Segoe UI"/>
      <w:sz w:val="18"/>
      <w:szCs w:val="18"/>
      <w:lang w:eastAsia="ru-RU"/>
    </w:rPr>
  </w:style>
  <w:style w:type="table" w:styleId="ab">
    <w:name w:val="Table Grid"/>
    <w:basedOn w:val="a1"/>
    <w:uiPriority w:val="59"/>
    <w:rsid w:val="0060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0072-66FC-4897-9A81-4EE23D14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4</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 г. Магадана</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Кормщикова Наталья Викторовна</cp:lastModifiedBy>
  <cp:revision>88</cp:revision>
  <cp:lastPrinted>2024-11-22T04:07:00Z</cp:lastPrinted>
  <dcterms:created xsi:type="dcterms:W3CDTF">2016-01-13T00:39:00Z</dcterms:created>
  <dcterms:modified xsi:type="dcterms:W3CDTF">2024-12-24T06:42:00Z</dcterms:modified>
</cp:coreProperties>
</file>