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C6C8">
      <w:pPr>
        <w:pStyle w:val="17"/>
        <w:spacing w:line="240" w:lineRule="auto"/>
      </w:pPr>
      <w:bookmarkStart w:id="1" w:name="_GoBack"/>
      <w:bookmarkEnd w:id="1"/>
      <w:r>
        <w:rPr>
          <w:rStyle w:val="16"/>
          <w:b/>
          <w:bCs/>
        </w:rPr>
        <w:t>ДЕПАРТАМЕНТ ИМУЩЕСТВЕННЫХ И ЗЕМЕЛЬНЫХ ОТНОШЕНИЙ МАГАДАНСКОЙ ОБЛАСТИ</w:t>
      </w:r>
    </w:p>
    <w:p w14:paraId="30D5EEE7">
      <w:pPr>
        <w:pStyle w:val="9"/>
        <w:keepNext/>
        <w:keepLines/>
      </w:pPr>
      <w:bookmarkStart w:id="0" w:name="bookmark2"/>
      <w:r>
        <w:rPr>
          <w:rStyle w:val="8"/>
          <w:b/>
          <w:bCs/>
        </w:rPr>
        <w:t>РАСПОРЯЖЕНИЕ</w:t>
      </w:r>
      <w:bookmarkEnd w:id="0"/>
    </w:p>
    <w:p w14:paraId="2F703F0A">
      <w:pPr>
        <w:jc w:val="center"/>
        <w:rPr>
          <w:sz w:val="2"/>
          <w:szCs w:val="2"/>
        </w:rPr>
      </w:pPr>
      <w:r>
        <w:rPr>
          <w:lang w:bidi="ar-SA"/>
        </w:rPr>
        <w:drawing>
          <wp:inline distT="0" distB="0" distL="0" distR="0">
            <wp:extent cx="1029970" cy="4267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87A1D">
      <w:pPr>
        <w:pStyle w:val="17"/>
        <w:spacing w:line="264" w:lineRule="auto"/>
        <w:rPr>
          <w:sz w:val="22"/>
          <w:szCs w:val="22"/>
        </w:rPr>
      </w:pPr>
      <w:r>
        <w:rPr>
          <w:rStyle w:val="16"/>
          <w:b w:val="0"/>
          <w:bCs w:val="0"/>
          <w:sz w:val="22"/>
          <w:szCs w:val="22"/>
        </w:rPr>
        <w:t>г. Магадан</w:t>
      </w:r>
    </w:p>
    <w:p w14:paraId="67494618">
      <w:pPr>
        <w:pStyle w:val="13"/>
        <w:spacing w:line="310" w:lineRule="auto"/>
        <w:ind w:firstLine="0"/>
        <w:jc w:val="center"/>
        <w:rPr>
          <w:b/>
        </w:rPr>
      </w:pPr>
      <w:r>
        <w:rPr>
          <w:rStyle w:val="12"/>
          <w:b/>
        </w:rPr>
        <w:t>О проведении в 2027 году на территории Магаданской области государственной кадастровой оценки зданий, помещений, сооружений, объектов незавершенного строительства, машино-мест</w:t>
      </w:r>
    </w:p>
    <w:p w14:paraId="186D76C2">
      <w:pPr>
        <w:pStyle w:val="13"/>
        <w:ind w:firstLine="360"/>
        <w:jc w:val="both"/>
      </w:pPr>
      <w:r>
        <w:rPr>
          <w:rStyle w:val="12"/>
        </w:rPr>
        <w:t>В соответствии со статьей 66 Земельного кодекса Российской Федерации, статьями 11, 12, 14 Федерального закона от 03 июля 2016 г. № 237-ФЗ «О государственной кадастровой оценке» (далее - Федеральный закон № 237-ФЗ), постановлением Правительства Магаданской области от 09 января 2014 г. № 1-пп «Об утверждении Положения о департаменте имущественных и земельных отношений Магаданской области»:</w:t>
      </w:r>
    </w:p>
    <w:p w14:paraId="24CD2775">
      <w:pPr>
        <w:pStyle w:val="13"/>
        <w:numPr>
          <w:ilvl w:val="0"/>
          <w:numId w:val="1"/>
        </w:numPr>
        <w:tabs>
          <w:tab w:val="left" w:pos="1418"/>
        </w:tabs>
        <w:ind w:firstLine="360"/>
        <w:jc w:val="both"/>
      </w:pPr>
      <w:r>
        <w:rPr>
          <w:rStyle w:val="12"/>
        </w:rPr>
        <w:t>Провести в 2027 году государственную кадастровую оценку одновременно в отношении всех учтенных в Едином государственном реестре недвижимости на территории Магаданской области зданий, помещений, сооружений, объектов незавершенного строительства, машино-мест по состоянию на 1 января 2027 г.</w:t>
      </w:r>
    </w:p>
    <w:p w14:paraId="0DBDC6BA">
      <w:pPr>
        <w:pStyle w:val="13"/>
        <w:numPr>
          <w:ilvl w:val="0"/>
          <w:numId w:val="1"/>
        </w:numPr>
        <w:tabs>
          <w:tab w:val="left" w:pos="1418"/>
        </w:tabs>
        <w:ind w:firstLine="360"/>
        <w:jc w:val="both"/>
      </w:pPr>
      <w:r>
        <w:rPr>
          <w:rStyle w:val="12"/>
        </w:rPr>
        <w:t>Областному государственному бюджетному учреждению «Магаданское областное управление технической инвентаризации и кадастровой оценки» (далее - ОГБУ «МОУТИ»):</w:t>
      </w:r>
    </w:p>
    <w:p w14:paraId="0338D29A">
      <w:pPr>
        <w:pStyle w:val="13"/>
        <w:numPr>
          <w:ilvl w:val="1"/>
          <w:numId w:val="1"/>
        </w:numPr>
        <w:tabs>
          <w:tab w:val="left" w:pos="1418"/>
        </w:tabs>
        <w:ind w:firstLine="360"/>
        <w:jc w:val="both"/>
      </w:pPr>
      <w:r>
        <w:rPr>
          <w:rStyle w:val="12"/>
        </w:rPr>
        <w:t>в срок до 01 января 2027 г. осуществить подготовку для определения кадастровой стоимости объектов, указанных в пункте 1 настоящего распоряжения;</w:t>
      </w:r>
    </w:p>
    <w:p w14:paraId="7C73E0D8">
      <w:pPr>
        <w:pStyle w:val="13"/>
        <w:numPr>
          <w:ilvl w:val="1"/>
          <w:numId w:val="1"/>
        </w:numPr>
        <w:tabs>
          <w:tab w:val="left" w:pos="1418"/>
        </w:tabs>
        <w:ind w:firstLine="360"/>
        <w:jc w:val="both"/>
      </w:pPr>
      <w:r>
        <w:rPr>
          <w:rStyle w:val="12"/>
        </w:rPr>
        <w:t>в 2027 году выполнить работы по определению кадастровой стоимости и составлению отчета об итогах государственной кадастровой оценки зданий, помещений, сооружений, объектов незавершенного строительства, машино-мест на территории Магаданской области в соответствии с действующим законодательством;</w:t>
      </w:r>
    </w:p>
    <w:p w14:paraId="2F72720C">
      <w:pPr>
        <w:pStyle w:val="13"/>
        <w:numPr>
          <w:ilvl w:val="1"/>
          <w:numId w:val="1"/>
        </w:numPr>
        <w:tabs>
          <w:tab w:val="left" w:pos="1418"/>
        </w:tabs>
        <w:ind w:firstLine="360"/>
        <w:jc w:val="both"/>
      </w:pPr>
      <w:r>
        <w:rPr>
          <w:rStyle w:val="12"/>
        </w:rPr>
        <w:t>сформировать проект отчета об итогах государственнойкадастровой оценки зданий, помещений, сооружений, объектов незавершенного строительства, машино-мест на территории Магаданской области и направить его в орган регистрации прав в порядке, предусмотренном частью 9 статьи 14 Федерального закона № 237-ФЗ, в срок до 01 июня 2027 г.</w:t>
      </w:r>
    </w:p>
    <w:p w14:paraId="43FC3CF9">
      <w:pPr>
        <w:pStyle w:val="13"/>
        <w:numPr>
          <w:ilvl w:val="0"/>
          <w:numId w:val="1"/>
        </w:numPr>
        <w:tabs>
          <w:tab w:val="left" w:pos="1416"/>
        </w:tabs>
        <w:ind w:firstLine="360"/>
        <w:jc w:val="both"/>
      </w:pPr>
      <w:r>
        <w:rPr>
          <w:rStyle w:val="12"/>
        </w:rPr>
        <w:t>Отделу земельных отношений департамента имущественных и земельных отношений Магаданской области (Матюшенко Т.А.) в течение тридцати календарных дней со дня принятия решения о проведении государственной кадастровой оценки обеспечить информирование о принятии этого решения, а также о приеме ОГБУ «МОУТИ» документов, содержащих сведения о характеристиках объектов недвижимости, путем:</w:t>
      </w:r>
    </w:p>
    <w:p w14:paraId="471C3481">
      <w:pPr>
        <w:pStyle w:val="13"/>
        <w:numPr>
          <w:ilvl w:val="0"/>
          <w:numId w:val="2"/>
        </w:numPr>
        <w:tabs>
          <w:tab w:val="left" w:pos="1127"/>
        </w:tabs>
        <w:ind w:firstLine="360"/>
        <w:jc w:val="both"/>
      </w:pPr>
      <w:r>
        <w:rPr>
          <w:rStyle w:val="12"/>
        </w:rPr>
        <w:t xml:space="preserve">размещения извещения и копии решения о проведении государственной кадастровой оценки на официальном сайте департамента имущественных и земельных отношений Магаданской области в информационно-телекоммуникационной сети «Интернет» </w:t>
      </w:r>
      <w:r>
        <w:fldChar w:fldCharType="begin"/>
      </w:r>
      <w:r>
        <w:instrText xml:space="preserve"> HYPERLINK "https://dizo.49gov.ru" </w:instrText>
      </w:r>
      <w:r>
        <w:fldChar w:fldCharType="separate"/>
      </w:r>
      <w:r>
        <w:rPr>
          <w:rStyle w:val="12"/>
          <w:lang w:val="en-US" w:eastAsia="en-US" w:bidi="en-US"/>
        </w:rPr>
        <w:t>https</w:t>
      </w:r>
      <w:r>
        <w:rPr>
          <w:rStyle w:val="12"/>
          <w:lang w:eastAsia="en-US" w:bidi="en-US"/>
        </w:rPr>
        <w:t>://</w:t>
      </w:r>
      <w:r>
        <w:rPr>
          <w:rStyle w:val="12"/>
          <w:lang w:val="en-US" w:eastAsia="en-US" w:bidi="en-US"/>
        </w:rPr>
        <w:t>dizo</w:t>
      </w:r>
      <w:r>
        <w:rPr>
          <w:rStyle w:val="12"/>
          <w:lang w:eastAsia="en-US" w:bidi="en-US"/>
        </w:rPr>
        <w:t>.49</w:t>
      </w:r>
      <w:r>
        <w:rPr>
          <w:rStyle w:val="12"/>
          <w:lang w:val="en-US" w:eastAsia="en-US" w:bidi="en-US"/>
        </w:rPr>
        <w:t>gov</w:t>
      </w:r>
      <w:r>
        <w:rPr>
          <w:rStyle w:val="12"/>
          <w:lang w:eastAsia="en-US" w:bidi="en-US"/>
        </w:rPr>
        <w:t>.</w:t>
      </w:r>
      <w:r>
        <w:rPr>
          <w:rStyle w:val="12"/>
          <w:lang w:val="en-US" w:eastAsia="en-US" w:bidi="en-US"/>
        </w:rPr>
        <w:t>ru</w:t>
      </w:r>
      <w:r>
        <w:rPr>
          <w:rStyle w:val="12"/>
          <w:lang w:val="en-US" w:eastAsia="en-US" w:bidi="en-US"/>
        </w:rPr>
        <w:fldChar w:fldCharType="end"/>
      </w:r>
      <w:r>
        <w:rPr>
          <w:rStyle w:val="12"/>
          <w:lang w:eastAsia="en-US" w:bidi="en-US"/>
        </w:rPr>
        <w:t>;</w:t>
      </w:r>
    </w:p>
    <w:p w14:paraId="3EBAF912">
      <w:pPr>
        <w:pStyle w:val="13"/>
        <w:numPr>
          <w:ilvl w:val="0"/>
          <w:numId w:val="2"/>
        </w:numPr>
        <w:tabs>
          <w:tab w:val="left" w:pos="1127"/>
        </w:tabs>
        <w:ind w:firstLine="360"/>
        <w:jc w:val="both"/>
      </w:pPr>
      <w:r>
        <w:rPr>
          <w:rStyle w:val="12"/>
        </w:rPr>
        <w:t>опубликования извещения в сетевом издании ОГАУ «Издательский дом «Магаданская правда»;</w:t>
      </w:r>
    </w:p>
    <w:p w14:paraId="4EE1DE4D">
      <w:pPr>
        <w:pStyle w:val="13"/>
        <w:numPr>
          <w:ilvl w:val="0"/>
          <w:numId w:val="2"/>
        </w:numPr>
        <w:tabs>
          <w:tab w:val="left" w:pos="1127"/>
        </w:tabs>
        <w:ind w:firstLine="360"/>
        <w:jc w:val="both"/>
      </w:pPr>
      <w:r>
        <w:rPr>
          <w:rStyle w:val="12"/>
        </w:rPr>
        <w:t>размещения извещения на информационном щите департамента имущественных и земельных отношений Магаданской области;</w:t>
      </w:r>
    </w:p>
    <w:p w14:paraId="7E5FAE32">
      <w:pPr>
        <w:pStyle w:val="13"/>
        <w:numPr>
          <w:ilvl w:val="0"/>
          <w:numId w:val="2"/>
        </w:numPr>
        <w:tabs>
          <w:tab w:val="left" w:pos="1127"/>
        </w:tabs>
        <w:ind w:firstLine="360"/>
        <w:jc w:val="both"/>
      </w:pPr>
      <w:r>
        <w:rPr>
          <w:rStyle w:val="12"/>
        </w:rPr>
        <w:t>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публично-правовую компанию «Роскадастр» для его размещения в фонде данных государственной кадастровой оценки;</w:t>
      </w:r>
    </w:p>
    <w:p w14:paraId="3C77B4B3">
      <w:pPr>
        <w:pStyle w:val="13"/>
        <w:numPr>
          <w:ilvl w:val="0"/>
          <w:numId w:val="2"/>
        </w:numPr>
        <w:tabs>
          <w:tab w:val="left" w:pos="1127"/>
        </w:tabs>
        <w:ind w:firstLine="360"/>
        <w:jc w:val="both"/>
      </w:pPr>
      <w:r>
        <w:rPr>
          <w:rStyle w:val="12"/>
        </w:rPr>
        <w:t>направления копии решения о проведении государственной кадастровой оценки органам местного самоуправления муниципальных образований Магаданской области для его доведения до сведения заинтересованных лиц.</w:t>
      </w:r>
    </w:p>
    <w:p w14:paraId="36A7BF65">
      <w:pPr>
        <w:pStyle w:val="13"/>
        <w:numPr>
          <w:ilvl w:val="0"/>
          <w:numId w:val="3"/>
        </w:numPr>
        <w:tabs>
          <w:tab w:val="left" w:pos="1127"/>
        </w:tabs>
        <w:ind w:firstLine="360"/>
        <w:jc w:val="both"/>
      </w:pPr>
      <w:r>
        <w:rPr>
          <w:rStyle w:val="12"/>
        </w:rPr>
        <w:t>Контроль за исполнением настоящего распоряжения возложить на заместителя руководителя О.А. Тахохову.</w:t>
      </w:r>
    </w:p>
    <w:p w14:paraId="5DAFA00E">
      <w:pPr>
        <w:pStyle w:val="13"/>
        <w:numPr>
          <w:ilvl w:val="0"/>
          <w:numId w:val="3"/>
        </w:numPr>
        <w:tabs>
          <w:tab w:val="left" w:pos="1843"/>
        </w:tabs>
        <w:ind w:firstLine="360"/>
        <w:jc w:val="both"/>
      </w:pPr>
      <w:r>
        <w:rPr>
          <w:rStyle w:val="12"/>
        </w:rPr>
        <w:t>Настоящее распоряжение подлежит официальному опубликованию.</w:t>
      </w:r>
    </w:p>
    <w:p w14:paraId="57E940FF">
      <w:pPr>
        <w:jc w:val="center"/>
        <w:rPr>
          <w:sz w:val="2"/>
          <w:szCs w:val="2"/>
        </w:rPr>
      </w:pPr>
      <w:r>
        <w:rPr>
          <w:lang w:bidi="ar-SA"/>
        </w:rPr>
        <w:drawing>
          <wp:inline distT="0" distB="0" distL="0" distR="0">
            <wp:extent cx="2005330" cy="101790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ut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D5254">
      <w:pPr>
        <w:pStyle w:val="13"/>
        <w:spacing w:line="240" w:lineRule="auto"/>
        <w:ind w:firstLine="0"/>
        <w:jc w:val="both"/>
      </w:pPr>
      <w:r>
        <w:rPr>
          <w:rStyle w:val="12"/>
        </w:rPr>
        <w:t>Руководитель департамента</w:t>
      </w:r>
    </w:p>
    <w:sectPr>
      <w:pgSz w:w="11909" w:h="16840"/>
      <w:pgMar w:top="1118" w:right="728" w:bottom="1308" w:left="172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E5CED"/>
    <w:multiLevelType w:val="multilevel"/>
    <w:tmpl w:val="3E0E5C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ECC6178"/>
    <w:multiLevelType w:val="multilevel"/>
    <w:tmpl w:val="3ECC6178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5A6FB5"/>
    <w:multiLevelType w:val="multilevel"/>
    <w:tmpl w:val="7B5A6FB5"/>
    <w:lvl w:ilvl="0" w:tentative="0">
      <w:start w:val="4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C6"/>
    <w:rsid w:val="006E72FA"/>
    <w:rsid w:val="00B77DDC"/>
    <w:rsid w:val="00FD62C6"/>
    <w:rsid w:val="3F73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6">
    <w:name w:val="Основной текст (4)_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7">
    <w:name w:val="Основной текст (4)"/>
    <w:basedOn w:val="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8">
    <w:name w:val="Заголовок №1_"/>
    <w:basedOn w:val="2"/>
    <w:link w:val="9"/>
    <w:uiPriority w:val="0"/>
    <w:rPr>
      <w:rFonts w:ascii="Times New Roman" w:hAnsi="Times New Roman" w:eastAsia="Times New Roman" w:cs="Times New Roman"/>
      <w:b/>
      <w:bCs/>
      <w:sz w:val="32"/>
      <w:szCs w:val="32"/>
      <w:u w:val="none"/>
    </w:rPr>
  </w:style>
  <w:style w:type="paragraph" w:customStyle="1" w:styleId="9">
    <w:name w:val="Заголовок №1"/>
    <w:basedOn w:val="1"/>
    <w:link w:val="8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0">
    <w:name w:val="Основной текст (2)_"/>
    <w:basedOn w:val="2"/>
    <w:link w:val="11"/>
    <w:qFormat/>
    <w:uiPriority w:val="0"/>
    <w:rPr>
      <w:rFonts w:ascii="Times New Roman" w:hAnsi="Times New Roman" w:eastAsia="Times New Roman" w:cs="Times New Roman"/>
      <w:sz w:val="18"/>
      <w:szCs w:val="18"/>
      <w:u w:val="none"/>
    </w:rPr>
  </w:style>
  <w:style w:type="paragraph" w:customStyle="1" w:styleId="11">
    <w:name w:val="Основной текст (2)"/>
    <w:basedOn w:val="1"/>
    <w:link w:val="10"/>
    <w:qFormat/>
    <w:uiPriority w:val="0"/>
    <w:pPr>
      <w:jc w:val="center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12">
    <w:name w:val="Основной текст_"/>
    <w:basedOn w:val="2"/>
    <w:link w:val="13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3">
    <w:name w:val="Основной текст1"/>
    <w:basedOn w:val="1"/>
    <w:link w:val="12"/>
    <w:qFormat/>
    <w:uiPriority w:val="0"/>
    <w:pPr>
      <w:spacing w:line="276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4">
    <w:name w:val="Другое_"/>
    <w:basedOn w:val="2"/>
    <w:link w:val="15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5">
    <w:name w:val="Другое"/>
    <w:basedOn w:val="1"/>
    <w:link w:val="14"/>
    <w:qFormat/>
    <w:uiPriority w:val="0"/>
    <w:pPr>
      <w:spacing w:line="276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6">
    <w:name w:val="Основной текст (3)_"/>
    <w:basedOn w:val="2"/>
    <w:link w:val="17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17">
    <w:name w:val="Основной текст (3)"/>
    <w:basedOn w:val="1"/>
    <w:link w:val="16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b/>
      <w:bCs/>
    </w:rPr>
  </w:style>
  <w:style w:type="character" w:customStyle="1" w:styleId="18">
    <w:name w:val="Верхний колонтитул Знак"/>
    <w:basedOn w:val="2"/>
    <w:link w:val="4"/>
    <w:qFormat/>
    <w:uiPriority w:val="99"/>
    <w:rPr>
      <w:color w:val="000000"/>
    </w:rPr>
  </w:style>
  <w:style w:type="character" w:customStyle="1" w:styleId="19">
    <w:name w:val="Нижний колонтитул Знак"/>
    <w:basedOn w:val="2"/>
    <w:link w:val="5"/>
    <w:qFormat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Мэрия г. Магадана</Company>
  <Pages>2</Pages>
  <Words>599</Words>
  <Characters>4543</Characters>
  <Lines>37</Lines>
  <Paragraphs>10</Paragraphs>
  <TotalTime>5</TotalTime>
  <ScaleCrop>false</ScaleCrop>
  <LinksUpToDate>false</LinksUpToDate>
  <CharactersWithSpaces>5107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2026-06-09T23:11:00Z</dcterms:created>
  <dc:creator>user</dc:creator>
  <cp:lastModifiedBy>Анна</cp:lastModifiedBy>
  <dcterms:modified xsi:type="dcterms:W3CDTF">2026-06-10T06:23:52Z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eyJoZGlkIjoiNjA5YzQxMTg0MTg0NTMwODZhOGYzMjg2NjkwNGE4YmIiLCJ1c2VySWQiOiI4NDI0MDY3NDY2OTgifQ==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BCD91DA696F54983B15355547224D3E3_12</vt:lpwstr>
  </property>
</Properties>
</file>