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3C" w:rsidRDefault="00A6373C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</w:p>
    <w:p w:rsidR="00A6373C" w:rsidRDefault="00A6373C">
      <w:pPr>
        <w:spacing w:line="276" w:lineRule="auto"/>
      </w:pPr>
    </w:p>
    <w:p w:rsidR="00A6373C" w:rsidRDefault="008555A0">
      <w:pPr>
        <w:framePr w:h="1160" w:hRule="exact" w:hSpace="180" w:wrap="around" w:vAnchor="text" w:hAnchor="page" w:x="5965" w:y="-108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object w:dxaOrig="881" w:dyaOrig="1161">
          <v:shape id="_x0000_i0" o:spid="_x0000_i1025" type="#_x0000_t75" style="width:44.25pt;height:57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Document.12" ShapeID="_x0000_i0" DrawAspect="Content" ObjectID="_1844422678" r:id="rId8"/>
        </w:object>
      </w:r>
    </w:p>
    <w:p w:rsidR="00A6373C" w:rsidRDefault="00A6373C">
      <w:pPr>
        <w:pStyle w:val="1"/>
        <w:spacing w:line="276" w:lineRule="auto"/>
        <w:jc w:val="left"/>
        <w:rPr>
          <w:sz w:val="36"/>
        </w:rPr>
      </w:pPr>
    </w:p>
    <w:p w:rsidR="00A6373C" w:rsidRDefault="008555A0">
      <w:pPr>
        <w:pStyle w:val="1"/>
        <w:rPr>
          <w:spacing w:val="30"/>
          <w:sz w:val="36"/>
          <w:szCs w:val="36"/>
        </w:rPr>
      </w:pPr>
      <w:r>
        <w:rPr>
          <w:spacing w:val="30"/>
          <w:sz w:val="34"/>
          <w:szCs w:val="34"/>
        </w:rPr>
        <w:t>МЭРИЯ ГОРОДА МАГАДАНА</w:t>
      </w:r>
    </w:p>
    <w:p w:rsidR="00A6373C" w:rsidRDefault="00A6373C">
      <w:pPr>
        <w:jc w:val="center"/>
        <w:rPr>
          <w:b/>
          <w:spacing w:val="20"/>
          <w:sz w:val="36"/>
        </w:rPr>
      </w:pPr>
    </w:p>
    <w:p w:rsidR="00A6373C" w:rsidRDefault="008555A0">
      <w:pPr>
        <w:pStyle w:val="2"/>
      </w:pPr>
      <w:r>
        <w:rPr>
          <w:sz w:val="32"/>
          <w:szCs w:val="32"/>
        </w:rPr>
        <w:t>П О С Т А Н О В Л Е Н И Е</w:t>
      </w:r>
    </w:p>
    <w:p w:rsidR="00A6373C" w:rsidRDefault="00A6373C"/>
    <w:p w:rsidR="00A6373C" w:rsidRDefault="008555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5530">
        <w:rPr>
          <w:sz w:val="28"/>
          <w:szCs w:val="28"/>
        </w:rPr>
        <w:t>01.07.2026</w:t>
      </w:r>
      <w:r>
        <w:rPr>
          <w:sz w:val="28"/>
          <w:szCs w:val="28"/>
        </w:rPr>
        <w:t xml:space="preserve"> № </w:t>
      </w:r>
      <w:r w:rsidR="00795530">
        <w:rPr>
          <w:sz w:val="28"/>
          <w:szCs w:val="28"/>
        </w:rPr>
        <w:t>2853-пм</w:t>
      </w:r>
    </w:p>
    <w:p w:rsidR="00A6373C" w:rsidRDefault="008555A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г. Магада</w:t>
      </w:r>
      <w:r>
        <w:rPr>
          <w:sz w:val="28"/>
          <w:szCs w:val="28"/>
        </w:rPr>
        <w:t>н</w:t>
      </w:r>
    </w:p>
    <w:p w:rsidR="00795530" w:rsidRDefault="00795530">
      <w:pPr>
        <w:spacing w:before="100" w:beforeAutospacing="1" w:after="100" w:afterAutospacing="1"/>
        <w:jc w:val="center"/>
        <w:rPr>
          <w:sz w:val="28"/>
          <w:szCs w:val="28"/>
        </w:rPr>
      </w:pPr>
      <w:bookmarkStart w:id="0" w:name="_GoBack"/>
      <w:bookmarkEnd w:id="0"/>
    </w:p>
    <w:p w:rsidR="00A6373C" w:rsidRDefault="008555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 главных администраторов доходов бюджета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«Город Магадан», </w:t>
      </w:r>
    </w:p>
    <w:p w:rsidR="00A6373C" w:rsidRDefault="008555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мэрии города Магадана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28 октября 2025 г. № 4254-пм </w:t>
      </w:r>
    </w:p>
    <w:p w:rsidR="00A6373C" w:rsidRDefault="00A637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373C" w:rsidRDefault="00A637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73C" w:rsidRDefault="008555A0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 целях уточнения перечня главных администраторов доходов бюджета муниципального образования «Город Магадан», руководствуясь статьями 35.1 и 45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Устава муниципального образования «Город Магадан», мэрия города Магадана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6373C" w:rsidRDefault="008555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55168" behindDoc="0" locked="0" layoutInCell="1" allowOverlap="1">
                <wp:simplePos x="0" y="0"/>
                <wp:positionH relativeFrom="column">
                  <wp:posOffset>-264583</wp:posOffset>
                </wp:positionH>
                <wp:positionV relativeFrom="paragraph">
                  <wp:posOffset>2082687</wp:posOffset>
                </wp:positionV>
                <wp:extent cx="212115" cy="317500"/>
                <wp:effectExtent l="3175" t="3175" r="3175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2114" cy="317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373C" w:rsidRDefault="008555A0">
                            <w:pPr>
                              <w:spacing w:after="160" w:line="283" w:lineRule="exact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0.85pt;margin-top:164pt;width:16.7pt;height:25pt;z-index:25165516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" fillcolor="white [3201]" stroked="f" strokeweight=".5pt">
                <v:textbox>
                  <w:txbxContent>
                    <w:p w:rsidR="00A6373C" w:rsidRDefault="008555A0">
                      <w:pPr>
                        <w:spacing w:after="160" w:line="283" w:lineRule="exact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1. Внести в Перечень главных администраторов доходов бюджета муниципального образования «Город Магадан», утвержденный постановлением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мэрии города Магадана от 28 октября </w:t>
      </w:r>
      <w:r>
        <w:rPr>
          <w:bCs/>
          <w:sz w:val="28"/>
          <w:szCs w:val="28"/>
        </w:rPr>
        <w:br/>
        <w:t>2025 г. № 4254-пм изменения:</w:t>
      </w:r>
    </w:p>
    <w:p w:rsidR="00A6373C" w:rsidRDefault="008555A0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1.1. Изложить код 812 по главному администратору доходов областного, местного бюджета департаменту жилищно-коммунального хозяйства и коммунальной инфраструктуры мэрии города Магадана в новой</w:t>
      </w:r>
      <w:r>
        <w:rPr>
          <w:bCs/>
          <w:sz w:val="28"/>
          <w:szCs w:val="28"/>
        </w:rPr>
        <w:t xml:space="preserve"> редакции </w:t>
      </w:r>
      <w:r>
        <w:rPr>
          <w:sz w:val="28"/>
          <w:szCs w:val="28"/>
        </w:rPr>
        <w:t xml:space="preserve">:                                                                                                               </w:t>
      </w: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2834"/>
        <w:gridCol w:w="3969"/>
      </w:tblGrid>
      <w:tr w:rsidR="00A6373C">
        <w:trPr>
          <w:trHeight w:val="2172"/>
        </w:trPr>
        <w:tc>
          <w:tcPr>
            <w:tcW w:w="629" w:type="dxa"/>
            <w:vMerge w:val="restart"/>
          </w:tcPr>
          <w:p w:rsidR="00A6373C" w:rsidRDefault="008555A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812</w:t>
            </w:r>
          </w:p>
        </w:tc>
        <w:tc>
          <w:tcPr>
            <w:tcW w:w="1701" w:type="dxa"/>
            <w:vMerge w:val="restart"/>
          </w:tcPr>
          <w:p w:rsidR="00A6373C" w:rsidRDefault="008555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Департамент  жилищно-коммунального хозяйства и коммунальной инфраструктуры мэрии города Магадана</w:t>
            </w: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1 11 07014 04 0000 120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A6373C">
        <w:trPr>
          <w:trHeight w:val="425"/>
        </w:trPr>
        <w:tc>
          <w:tcPr>
            <w:tcW w:w="629" w:type="dxa"/>
            <w:vMerge w:val="restart"/>
          </w:tcPr>
          <w:p w:rsidR="00A6373C" w:rsidRDefault="00A6373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373C" w:rsidRDefault="00A6373C">
            <w:pPr>
              <w:rPr>
                <w:color w:val="000000" w:themeColor="text1"/>
                <w:sz w:val="22"/>
                <w:szCs w:val="22"/>
              </w:rPr>
            </w:pPr>
          </w:p>
          <w:p w:rsidR="00A6373C" w:rsidRDefault="00A6373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6373C" w:rsidRDefault="00A6373C">
            <w:pPr>
              <w:rPr>
                <w:sz w:val="22"/>
                <w:szCs w:val="22"/>
              </w:rPr>
            </w:pPr>
          </w:p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1 13 01994 04 0000 130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6373C">
        <w:trPr>
          <w:trHeight w:val="709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701" w:type="dxa"/>
            <w:vMerge/>
          </w:tcPr>
          <w:p w:rsidR="00A6373C" w:rsidRDefault="00A6373C"/>
        </w:tc>
        <w:tc>
          <w:tcPr>
            <w:tcW w:w="2834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1 13 02994 04 0000 130</w:t>
            </w:r>
          </w:p>
        </w:tc>
        <w:tc>
          <w:tcPr>
            <w:tcW w:w="3969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A6373C">
        <w:trPr>
          <w:trHeight w:val="1317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1 14 02042 04 0000 410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Доходы от реализации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6373C">
        <w:trPr>
          <w:trHeight w:val="1317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1 16 01194 01 0000 140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A6373C">
        <w:trPr>
          <w:trHeight w:val="1317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1 16 07010 04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0000 140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A6373C">
        <w:trPr>
          <w:trHeight w:val="1317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1 16 07090 04 0000 140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A6373C">
        <w:trPr>
          <w:trHeight w:val="425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16 11050 01 0000 140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мира, не относящимся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 объектам охоты и рыболовства и среде их обитания), подлежащие зачислению в бюджет муниципального образования</w:t>
            </w:r>
          </w:p>
        </w:tc>
      </w:tr>
      <w:tr w:rsidR="00A6373C">
        <w:trPr>
          <w:trHeight w:val="878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1 17 01040 04 0000 180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A6373C">
        <w:trPr>
          <w:trHeight w:val="495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1 17 05040 04 0000 180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Прочие неналоговые доходы бюджетов городских округов</w:t>
            </w:r>
          </w:p>
        </w:tc>
      </w:tr>
      <w:tr w:rsidR="00A6373C">
        <w:trPr>
          <w:trHeight w:val="756"/>
        </w:trPr>
        <w:tc>
          <w:tcPr>
            <w:tcW w:w="629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6373C" w:rsidRDefault="00A6373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2 18 04010 04 0000 150</w:t>
            </w:r>
          </w:p>
        </w:tc>
        <w:tc>
          <w:tcPr>
            <w:tcW w:w="3969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5200" distR="115200" simplePos="0" relativeHeight="251656192" behindDoc="1" locked="0" layoutInCell="1" allowOverlap="1">
                      <wp:simplePos x="0" y="0"/>
                      <wp:positionH relativeFrom="character">
                        <wp:posOffset>2349392</wp:posOffset>
                      </wp:positionH>
                      <wp:positionV relativeFrom="paragraph">
                        <wp:posOffset>317440</wp:posOffset>
                      </wp:positionV>
                      <wp:extent cx="474158" cy="264583"/>
                      <wp:effectExtent l="3175" t="3175" r="3175" b="317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74156" cy="2645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6373C" w:rsidRDefault="008555A0">
                                  <w:pPr>
                                    <w:spacing w:after="160" w:line="283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" o:spid="_x0000_s1027" type="#_x0000_t202" style="position:absolute;margin-left:185pt;margin-top:25pt;width:37.35pt;height:20.85pt;z-index:-251660288;visibility:visible;mso-wrap-style:square;mso-wrap-distance-left:3.2mm;mso-wrap-distance-top:0;mso-wrap-distance-right:3.2mm;mso-wrap-distance-bottom:0;mso-position-horizontal:absolute;mso-position-horizontal-relative:char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" fillcolor="white [3201]" stroked="f" strokeweight=".5pt">
                      <v:textbox>
                        <w:txbxContent>
                          <w:p w:rsidR="00A6373C" w:rsidRDefault="008555A0">
                            <w:pPr>
                              <w:spacing w:after="160" w:line="283" w:lineRule="exact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</w:tbl>
    <w:p w:rsidR="00A6373C" w:rsidRDefault="008555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6373C" w:rsidRDefault="008555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57216" behindDoc="0" locked="0" layoutInCell="1" allowOverlap="1">
                <wp:simplePos x="0" y="0"/>
                <wp:positionH relativeFrom="column">
                  <wp:posOffset>-264583</wp:posOffset>
                </wp:positionH>
                <wp:positionV relativeFrom="paragraph">
                  <wp:posOffset>1814097</wp:posOffset>
                </wp:positionV>
                <wp:extent cx="201532" cy="391583"/>
                <wp:effectExtent l="3175" t="3175" r="3175" b="31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1530" cy="391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373C" w:rsidRDefault="008555A0">
                            <w:pPr>
                              <w:spacing w:after="160" w:line="283" w:lineRule="exact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8" type="#_x0000_t202" style="position:absolute;left:0;text-align:left;margin-left:-20.85pt;margin-top:142.85pt;width:15.85pt;height:30.85pt;z-index:2516572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" fillcolor="white [3201]" stroked="f" strokeweight=".5pt">
                <v:textbox>
                  <w:txbxContent>
                    <w:p w:rsidR="00A6373C" w:rsidRDefault="008555A0">
                      <w:pPr>
                        <w:spacing w:after="160" w:line="283" w:lineRule="exact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t>2</w:t>
      </w:r>
      <w:r>
        <w:rPr>
          <w:sz w:val="28"/>
          <w:szCs w:val="28"/>
        </w:rPr>
        <w:t xml:space="preserve">. Изложить </w:t>
      </w:r>
      <w:r>
        <w:rPr>
          <w:bCs/>
          <w:sz w:val="28"/>
          <w:szCs w:val="28"/>
        </w:rPr>
        <w:t>код 80</w:t>
      </w:r>
      <w:r>
        <w:rPr>
          <w:bCs/>
          <w:sz w:val="28"/>
          <w:szCs w:val="28"/>
        </w:rPr>
        <w:t>1 по главному администратору доходов областного, местного бюджета мэрии города Магадана в новой редакции</w:t>
      </w:r>
      <w:r>
        <w:rPr>
          <w:sz w:val="28"/>
          <w:szCs w:val="28"/>
        </w:rPr>
        <w:t xml:space="preserve">: </w:t>
      </w:r>
    </w:p>
    <w:p w:rsidR="00A6373C" w:rsidRDefault="00A6373C">
      <w:pPr>
        <w:spacing w:line="360" w:lineRule="auto"/>
        <w:ind w:firstLine="709"/>
        <w:jc w:val="both"/>
      </w:pP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2"/>
        <w:gridCol w:w="2977"/>
        <w:gridCol w:w="3621"/>
      </w:tblGrid>
      <w:tr w:rsidR="00A6373C">
        <w:trPr>
          <w:trHeight w:val="287"/>
        </w:trPr>
        <w:tc>
          <w:tcPr>
            <w:tcW w:w="629" w:type="dxa"/>
            <w:vMerge w:val="restart"/>
          </w:tcPr>
          <w:p w:rsidR="00A6373C" w:rsidRDefault="008555A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801</w:t>
            </w:r>
          </w:p>
        </w:tc>
        <w:tc>
          <w:tcPr>
            <w:tcW w:w="1842" w:type="dxa"/>
            <w:vMerge w:val="restart"/>
          </w:tcPr>
          <w:p w:rsidR="00A6373C" w:rsidRDefault="008555A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Мэрия города Магадана</w:t>
            </w:r>
          </w:p>
        </w:tc>
        <w:tc>
          <w:tcPr>
            <w:tcW w:w="2977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1 13 01994 04 0000 130</w:t>
            </w:r>
          </w:p>
        </w:tc>
        <w:tc>
          <w:tcPr>
            <w:tcW w:w="3621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highlight w:val="white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A6373C">
        <w:trPr>
          <w:trHeight w:val="1199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1 13 02064 04 0000 130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A6373C"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1 13 02994 04 0000 130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Прочие доходы от компенсации затрат бюджетов городских округов</w:t>
            </w:r>
          </w:p>
        </w:tc>
      </w:tr>
      <w:tr w:rsidR="00A6373C">
        <w:trPr>
          <w:trHeight w:val="276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  <w:vMerge w:val="restart"/>
          </w:tcPr>
          <w:p w:rsidR="00A6373C" w:rsidRDefault="008555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116 01154 01 0000 140</w:t>
            </w:r>
          </w:p>
        </w:tc>
        <w:tc>
          <w:tcPr>
            <w:tcW w:w="3621" w:type="dxa"/>
            <w:vMerge w:val="restart"/>
          </w:tcPr>
          <w:p w:rsidR="00A6373C" w:rsidRDefault="008555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 w:themeColor="text1"/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Административные штрафы, установленные главой 15 Кодекса РФ об административных правонарушениях в области финансов, налогов и сборов, страхования, рынка ценных бумаг (за исключением п. 6 статьи 46 Бюджетного кодекса РФ), выявленные должностными лицами орга</w:t>
            </w:r>
            <w:r>
              <w:rPr>
                <w:sz w:val="25"/>
                <w:szCs w:val="25"/>
              </w:rPr>
              <w:t>нов муниципального контроля</w:t>
            </w:r>
          </w:p>
        </w:tc>
      </w:tr>
      <w:tr w:rsidR="00A6373C">
        <w:trPr>
          <w:trHeight w:val="276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  <w:vMerge w:val="restart"/>
          </w:tcPr>
          <w:p w:rsidR="00A6373C" w:rsidRDefault="008555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116 01 15701 0000 140</w:t>
            </w:r>
          </w:p>
        </w:tc>
        <w:tc>
          <w:tcPr>
            <w:tcW w:w="3621" w:type="dxa"/>
            <w:vMerge w:val="restart"/>
          </w:tcPr>
          <w:p w:rsidR="00A6373C" w:rsidRDefault="008555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Административные штрафы, установленные главой 15 Кодекса РФ об </w:t>
            </w:r>
            <w:r>
              <w:rPr>
                <w:sz w:val="25"/>
                <w:szCs w:val="25"/>
              </w:rPr>
              <w:lastRenderedPageBreak/>
              <w:t>административных правонарушениях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</w:t>
            </w:r>
            <w:r>
              <w:rPr>
                <w:sz w:val="25"/>
                <w:szCs w:val="25"/>
              </w:rPr>
              <w:t>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</w:t>
            </w:r>
            <w:r>
              <w:rPr>
                <w:sz w:val="25"/>
                <w:szCs w:val="25"/>
              </w:rPr>
              <w:t>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A6373C">
        <w:trPr>
          <w:trHeight w:val="276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  <w:vMerge w:val="restart"/>
          </w:tcPr>
          <w:p w:rsidR="00A6373C" w:rsidRDefault="008555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116 01193 01 0000 140</w:t>
            </w:r>
            <w:r>
              <w:rPr>
                <w:color w:val="000000" w:themeColor="text1"/>
                <w:sz w:val="25"/>
                <w:szCs w:val="25"/>
              </w:rPr>
              <w:br/>
            </w:r>
          </w:p>
          <w:p w:rsidR="00A6373C" w:rsidRDefault="00A637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3621" w:type="dxa"/>
            <w:vMerge w:val="restart"/>
          </w:tcPr>
          <w:p w:rsidR="00A6373C" w:rsidRDefault="008555A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Админ</w:t>
            </w:r>
            <w:r>
              <w:rPr>
                <w:color w:val="000000" w:themeColor="text1"/>
                <w:sz w:val="25"/>
                <w:szCs w:val="25"/>
              </w:rPr>
              <w:t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A6373C">
        <w:trPr>
          <w:trHeight w:val="276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  <w:vMerge w:val="restart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116 01194 01 0000 140</w:t>
            </w:r>
          </w:p>
        </w:tc>
        <w:tc>
          <w:tcPr>
            <w:tcW w:w="3621" w:type="dxa"/>
            <w:vMerge w:val="restart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выявленные должностными лицами органов муниципального контроля</w:t>
            </w:r>
          </w:p>
        </w:tc>
      </w:tr>
      <w:tr w:rsidR="00A6373C"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1 16 07010 04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0000 140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A6373C"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10123 01 0000 140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6373C"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1 17 01040 04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0000 180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Невыясненные поступления, зачисляемые в бюджеты городских округов</w:t>
            </w:r>
          </w:p>
        </w:tc>
      </w:tr>
      <w:tr w:rsidR="00A6373C"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1 17 05040 04 0000 180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Прочие неналоговые доходы бюджетов городских округов</w:t>
            </w:r>
          </w:p>
        </w:tc>
      </w:tr>
      <w:tr w:rsidR="00A6373C">
        <w:trPr>
          <w:trHeight w:val="1317"/>
        </w:trPr>
        <w:tc>
          <w:tcPr>
            <w:tcW w:w="629" w:type="dxa"/>
            <w:vMerge/>
          </w:tcPr>
          <w:p w:rsidR="00A6373C" w:rsidRDefault="00A6373C"/>
        </w:tc>
        <w:tc>
          <w:tcPr>
            <w:tcW w:w="1842" w:type="dxa"/>
            <w:vMerge/>
          </w:tcPr>
          <w:p w:rsidR="00A6373C" w:rsidRDefault="00A6373C"/>
        </w:tc>
        <w:tc>
          <w:tcPr>
            <w:tcW w:w="2977" w:type="dxa"/>
          </w:tcPr>
          <w:p w:rsidR="00A6373C" w:rsidRDefault="008555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2 18 04010 04 0000 150</w:t>
            </w:r>
          </w:p>
        </w:tc>
        <w:tc>
          <w:tcPr>
            <w:tcW w:w="3621" w:type="dxa"/>
          </w:tcPr>
          <w:p w:rsidR="00A6373C" w:rsidRDefault="008555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5200" distR="115200" simplePos="0" relativeHeight="251658240" behindDoc="1" locked="0" layoutInCell="1" allowOverlap="1">
                      <wp:simplePos x="0" y="0"/>
                      <wp:positionH relativeFrom="column">
                        <wp:posOffset>2203051</wp:posOffset>
                      </wp:positionH>
                      <wp:positionV relativeFrom="paragraph">
                        <wp:posOffset>650356</wp:posOffset>
                      </wp:positionV>
                      <wp:extent cx="497416" cy="275166"/>
                      <wp:effectExtent l="3175" t="3175" r="3175" b="3175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97414" cy="275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bevel/>
                              </a:ln>
                            </wps:spPr>
                            <wps:txbx>
                              <w:txbxContent>
                                <w:p w:rsidR="00A6373C" w:rsidRDefault="008555A0">
                                  <w:pPr>
                                    <w:spacing w:after="160" w:line="283" w:lineRule="exac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5" o:spid="_x0000_s1029" type="#_x0000_t202" style="position:absolute;left:0;text-align:left;margin-left:173.45pt;margin-top:51.2pt;width:39.15pt;height:21.65pt;z-index:-2516582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" fillcolor="white [3201]" stroked="f" strokeweight=".5pt">
                      <v:stroke joinstyle="bevel"/>
                      <v:textbox>
                        <w:txbxContent>
                          <w:p w:rsidR="00A6373C" w:rsidRDefault="008555A0">
                            <w:pPr>
                              <w:spacing w:after="160" w:line="283" w:lineRule="exac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</w:tbl>
    <w:p w:rsidR="00A6373C" w:rsidRDefault="008555A0"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-264583</wp:posOffset>
                </wp:positionH>
                <wp:positionV relativeFrom="paragraph">
                  <wp:posOffset>2173930</wp:posOffset>
                </wp:positionV>
                <wp:extent cx="201532" cy="338667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1528" cy="33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373C" w:rsidRDefault="00A6373C">
                            <w:pPr>
                              <w:spacing w:after="160" w:line="283" w:lineRule="exact"/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30" type="#_x0000_t202" style="position:absolute;margin-left:-20.85pt;margin-top:171.2pt;width:15.85pt;height:26.65pt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" fillcolor="white [3201]" stroked="f" strokeweight=".5pt">
                <v:textbox>
                  <w:txbxContent>
                    <w:p w:rsidR="00A6373C" w:rsidRDefault="00A6373C">
                      <w:pPr>
                        <w:spacing w:after="160" w:line="283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6373C" w:rsidRDefault="008555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>
        <w:rPr>
          <w:rFonts w:ascii="Times New Roman" w:hAnsi="Times New Roman" w:cs="Times New Roman"/>
          <w:sz w:val="28"/>
          <w:szCs w:val="28"/>
        </w:rPr>
        <w:t>астоящее постановление подлежит официальному опубликованию.</w:t>
      </w:r>
    </w:p>
    <w:p w:rsidR="00A6373C" w:rsidRDefault="00A6373C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73C" w:rsidRDefault="00A6373C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73C" w:rsidRDefault="00855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 образования</w:t>
      </w:r>
    </w:p>
    <w:p w:rsidR="00A6373C" w:rsidRDefault="008555A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«Город Магадан», мэра города Магадана                                         Л.Б. Исакова</w:t>
      </w:r>
    </w:p>
    <w:p w:rsidR="00A6373C" w:rsidRDefault="00A6373C">
      <w:pPr>
        <w:spacing w:line="276" w:lineRule="auto"/>
        <w:rPr>
          <w:sz w:val="28"/>
          <w:szCs w:val="28"/>
        </w:rPr>
      </w:pPr>
    </w:p>
    <w:sectPr w:rsidR="00A6373C">
      <w:headerReference w:type="default" r:id="rId9"/>
      <w:footerReference w:type="default" r:id="rId10"/>
      <w:headerReference w:type="first" r:id="rId11"/>
      <w:pgSz w:w="11907" w:h="16840"/>
      <w:pgMar w:top="1134" w:right="850" w:bottom="850" w:left="1701" w:header="51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A0" w:rsidRDefault="008555A0">
      <w:r>
        <w:separator/>
      </w:r>
    </w:p>
  </w:endnote>
  <w:endnote w:type="continuationSeparator" w:id="0">
    <w:p w:rsidR="008555A0" w:rsidRDefault="0085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3C" w:rsidRDefault="00A6373C">
    <w:pPr>
      <w:pStyle w:val="af5"/>
      <w:jc w:val="right"/>
    </w:pPr>
  </w:p>
  <w:p w:rsidR="00A6373C" w:rsidRDefault="00A6373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A0" w:rsidRDefault="008555A0">
      <w:r>
        <w:separator/>
      </w:r>
    </w:p>
  </w:footnote>
  <w:footnote w:type="continuationSeparator" w:id="0">
    <w:p w:rsidR="008555A0" w:rsidRDefault="0085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90934"/>
      <w:docPartObj>
        <w:docPartGallery w:val="Page Numbers (Top of Page)"/>
        <w:docPartUnique/>
      </w:docPartObj>
    </w:sdtPr>
    <w:sdtEndPr/>
    <w:sdtContent>
      <w:p w:rsidR="00A6373C" w:rsidRDefault="008555A0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530">
          <w:rPr>
            <w:noProof/>
          </w:rPr>
          <w:t>5</w:t>
        </w:r>
        <w:r>
          <w:fldChar w:fldCharType="end"/>
        </w:r>
      </w:p>
    </w:sdtContent>
  </w:sdt>
  <w:p w:rsidR="00A6373C" w:rsidRDefault="00A6373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3C" w:rsidRDefault="00A6373C">
    <w:pPr>
      <w:pStyle w:val="af3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5A5"/>
    <w:multiLevelType w:val="hybridMultilevel"/>
    <w:tmpl w:val="AB50884E"/>
    <w:lvl w:ilvl="0" w:tplc="A2F652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E62B9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AA4F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9E6B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0E37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0828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88C7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FCA2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927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492038"/>
    <w:multiLevelType w:val="hybridMultilevel"/>
    <w:tmpl w:val="9A0A0F6E"/>
    <w:lvl w:ilvl="0" w:tplc="3A88E2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DE28A2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940C3B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B98871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0BCBEB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D78AF1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5C85B0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32259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E43D0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5B8382C"/>
    <w:multiLevelType w:val="multilevel"/>
    <w:tmpl w:val="E5B60D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ADA4BD2"/>
    <w:multiLevelType w:val="multilevel"/>
    <w:tmpl w:val="B7468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77E72E78"/>
    <w:multiLevelType w:val="hybridMultilevel"/>
    <w:tmpl w:val="F4B2075E"/>
    <w:lvl w:ilvl="0" w:tplc="DCFAE5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F24A57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2B4508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40888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ABA5AE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D5A90F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AB4FE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9ECB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A54B8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3C"/>
    <w:rsid w:val="00795530"/>
    <w:rsid w:val="008555A0"/>
    <w:rsid w:val="00A6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6879E6"/>
  <w15:docId w15:val="{D0E6B7B2-F786-415E-A0A6-644F8757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paragraph" w:styleId="af7">
    <w:name w:val="Body Text"/>
    <w:basedOn w:val="a"/>
    <w:pPr>
      <w:jc w:val="both"/>
    </w:pPr>
    <w:rPr>
      <w:sz w:val="28"/>
    </w:rPr>
  </w:style>
  <w:style w:type="character" w:styleId="af8">
    <w:name w:val="page number"/>
    <w:basedOn w:val="a0"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pPr>
      <w:spacing w:after="120" w:line="480" w:lineRule="auto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Hyperlink"/>
    <w:basedOn w:val="a0"/>
    <w:rPr>
      <w:color w:val="0000FF"/>
      <w:u w:val="single"/>
    </w:rPr>
  </w:style>
  <w:style w:type="paragraph" w:styleId="a7">
    <w:name w:val="Subtitle"/>
    <w:basedOn w:val="a"/>
    <w:link w:val="a6"/>
    <w:qFormat/>
    <w:pPr>
      <w:jc w:val="center"/>
    </w:pPr>
    <w:rPr>
      <w:b/>
      <w:bCs/>
      <w:sz w:val="32"/>
      <w:szCs w:val="24"/>
    </w:r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character" w:customStyle="1" w:styleId="af4">
    <w:name w:val="Верхний колонтитул Знак"/>
    <w:basedOn w:val="a0"/>
    <w:link w:val="af3"/>
    <w:uiPriority w:val="99"/>
    <w:rPr>
      <w:sz w:val="24"/>
    </w:rPr>
  </w:style>
  <w:style w:type="character" w:customStyle="1" w:styleId="af6">
    <w:name w:val="Нижний колонтитул Знак"/>
    <w:basedOn w:val="a0"/>
    <w:link w:val="af5"/>
    <w:uiPriority w:val="99"/>
    <w:rPr>
      <w:sz w:val="24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33">
    <w:name w:val="Body Text Indent 3"/>
    <w:basedOn w:val="a"/>
    <w:link w:val="34"/>
    <w:semiHidden/>
    <w:pPr>
      <w:ind w:left="142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Pr>
      <w:sz w:val="28"/>
    </w:rPr>
  </w:style>
  <w:style w:type="paragraph" w:styleId="35">
    <w:name w:val="Body Text 3"/>
    <w:basedOn w:val="a"/>
    <w:link w:val="36"/>
    <w:semiHidden/>
    <w:pPr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semiHidden/>
    <w:rPr>
      <w:sz w:val="28"/>
    </w:rPr>
  </w:style>
  <w:style w:type="paragraph" w:styleId="afd">
    <w:name w:val="Body Text Indent"/>
    <w:basedOn w:val="a"/>
    <w:link w:val="afe"/>
    <w:semiHidden/>
    <w:pPr>
      <w:ind w:firstLine="720"/>
      <w:jc w:val="both"/>
    </w:pPr>
    <w:rPr>
      <w:sz w:val="28"/>
      <w:szCs w:val="24"/>
    </w:rPr>
  </w:style>
  <w:style w:type="character" w:customStyle="1" w:styleId="afe">
    <w:name w:val="Основной текст с отступом Знак"/>
    <w:basedOn w:val="a0"/>
    <w:link w:val="afd"/>
    <w:semiHidden/>
    <w:rPr>
      <w:sz w:val="28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basedOn w:val="6"/>
    <w:uiPriority w:val="99"/>
    <w:semiHidden/>
    <w:unhideWhenUsed/>
    <w:pPr>
      <w:keepNext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left"/>
    </w:pPr>
    <w:rPr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1018</Words>
  <Characters>5804</Characters>
  <Application>Microsoft Office Word</Application>
  <DocSecurity>0</DocSecurity>
  <Lines>48</Lines>
  <Paragraphs>13</Paragraphs>
  <ScaleCrop>false</ScaleCrop>
  <Company>Мэрия г. Магадана, ОИТО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Filipenko Mariya</dc:creator>
  <cp:lastModifiedBy>Кормщикова Наталья Викторовна</cp:lastModifiedBy>
  <cp:revision>119</cp:revision>
  <dcterms:created xsi:type="dcterms:W3CDTF">2018-10-04T00:14:00Z</dcterms:created>
  <dcterms:modified xsi:type="dcterms:W3CDTF">2026-07-01T03:52:00Z</dcterms:modified>
</cp:coreProperties>
</file>