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FF" w:rsidRPr="002C6BC5" w:rsidRDefault="008C695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</w:t>
      </w:r>
    </w:p>
    <w:p w:rsidR="00B464F1" w:rsidRPr="002C6BC5" w:rsidRDefault="00B464F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64F1" w:rsidRPr="002C6BC5" w:rsidRDefault="00B464F1" w:rsidP="00B464F1">
      <w:pPr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«Город Магадан» в рамках </w:t>
      </w:r>
      <w:r w:rsidRPr="002C6BC5">
        <w:rPr>
          <w:rFonts w:ascii="Times New Roman" w:eastAsia="Calibri" w:hAnsi="Times New Roman" w:cs="Times New Roman"/>
          <w:b/>
          <w:sz w:val="26"/>
          <w:szCs w:val="26"/>
        </w:rPr>
        <w:t>«гаражной амнистии»</w:t>
      </w: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 осуществляется предоставление в собственность бесплатно земельных участков под гаражами - объектами капитального строительства, </w:t>
      </w:r>
      <w:r w:rsidRPr="002C6BC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возведенными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</w:rPr>
        <w:t>(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Федеральный закон от 05.04.2021 № 79-ФЗ «О внесении изменений в отдельные законодательные акты Российской Федерации»)</w:t>
      </w:r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Для оформления прав собственности необходимо предоставить документ о предоставлении или выделении гражданину земельного участка. В случае отсутствия у гражданина этого документа к заявлению может быть приложен один или несколько из следующих документов: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заключенные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(до 30.12.2004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о подключении гаража к сетям или договор о предоставлении коммунальных услуг в связи с использованием гаража, счета по оплате коммунальных услуг;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 государственного технического учета и (или) технической инвентаризации гаража до 1 января 2013 года, в котором имеются указания на правообладателя гаража и на год его постройки.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Также в подтверждение собственности можно предоставлять следующие документы: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документ, подтверждающий предоставление или иное выделение земельного участка гаражному кооперативу либо иной организации, при которой был организован гаражный кооператив, для гаражного строительства и (или) размещения гаражей;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документ, подтверждающий приобретение указанным кооперативом либо организацией права на использование такого земельного участка по иным основаниям;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решение общего собрания членов гаражного кооператива о распределении гражданину гаража и (или) указанного земельного участка либо иной документ, либо документ об оплате паевых взносов кооперативу;</w:t>
      </w:r>
    </w:p>
    <w:p w:rsidR="00B464F1" w:rsidRPr="002C6BC5" w:rsidRDefault="00B464F1" w:rsidP="00B464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участок), подготовка которой осуществляется в форме документа на бумажном носителе, утвержденной Приказом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Росреестра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19.04.2022 № П/0148.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Прием заявлений об оформлении прав на земельные участки осуществляется в департаменте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каб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№ 7 в приемные часы по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предварительной записи по телефону 8(4132)649-593,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C6BC5">
        <w:rPr>
          <w:rFonts w:ascii="Times New Roman" w:eastAsia="Calibri" w:hAnsi="Times New Roman" w:cs="Times New Roman"/>
          <w:sz w:val="26"/>
          <w:szCs w:val="26"/>
        </w:rPr>
        <w:t>а также в МОГАУ «Многофункциональный центр предоставления государственных и муниципальных услуг» (ул. Горького, д. 14).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Информация о муниципальных услугах и порядке их оказания опубликована на официальном сайте мэрии города Магадана в сети «Интернет» </w:t>
      </w:r>
      <w:hyperlink r:id="rId5" w:history="1">
        <w:r w:rsidRPr="002C6BC5">
          <w:rPr>
            <w:rFonts w:ascii="Times New Roman" w:eastAsia="Calibri" w:hAnsi="Times New Roman" w:cs="Times New Roman"/>
            <w:sz w:val="26"/>
            <w:szCs w:val="26"/>
          </w:rPr>
          <w:t>www.magadan.49go</w:t>
        </w:r>
        <w:r w:rsidRPr="002C6BC5">
          <w:rPr>
            <w:rFonts w:ascii="Times New Roman" w:eastAsia="Calibri" w:hAnsi="Times New Roman" w:cs="Times New Roman"/>
            <w:sz w:val="26"/>
            <w:szCs w:val="26"/>
            <w:lang w:val="en-US"/>
          </w:rPr>
          <w:t>v</w:t>
        </w:r>
        <w:r w:rsidRPr="002C6BC5">
          <w:rPr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2C6BC5">
          <w:rPr>
            <w:rFonts w:ascii="Times New Roman" w:eastAsia="Calibri" w:hAnsi="Times New Roman" w:cs="Times New Roman"/>
            <w:sz w:val="26"/>
            <w:szCs w:val="26"/>
          </w:rPr>
          <w:t>ru</w:t>
        </w:r>
        <w:proofErr w:type="spellEnd"/>
      </w:hyperlink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  <w:lastRenderedPageBreak/>
        <w:t>ДАЛЬНЕВОСТОЧНЫЙ ГЕКТАР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на территории муниципального образования «Город Магадан»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B464F1" w:rsidRPr="002C6BC5" w:rsidRDefault="00B464F1" w:rsidP="00B464F1">
      <w:pPr>
        <w:widowControl/>
        <w:numPr>
          <w:ilvl w:val="0"/>
          <w:numId w:val="5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Дальневосточный гектар предоставляется на территории муниципального образования «Город Магадан» в микрорайоне Снежном, микрорайоне Снежная долина, а также в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Уптаре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 и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Соколе. Подать заявление о предоставлении земельного участка может только гражданин РФ с использованием федеральной государственной информационной системы, доступ к которой обеспечивается посредством официального сайта по адресу </w:t>
      </w:r>
      <w:bookmarkStart w:id="0" w:name="_Hlk76029007"/>
      <w:proofErr w:type="spellStart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Надальнийвосток.рф</w:t>
      </w:r>
      <w:bookmarkEnd w:id="0"/>
      <w:proofErr w:type="spellEnd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Земельный участок первоначально предоставляется гражданину однократно на срок 5 лет на основании договора безвозмездного пользования земельным участком. Площадь земельного участка не может превышать одного гектара (10 000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кв.м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.), но может быть меньше указанного размера по желанию гражданина.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 коллективным заявлением о предоставлении земельного участка в безвозмездное пользование могут обратиться не более десяти граждан, при этом площадь земельного участка исчисляется исходя из расчета не более одного гектара на каждого гражданина.</w:t>
      </w:r>
    </w:p>
    <w:p w:rsidR="00B464F1" w:rsidRPr="002C6BC5" w:rsidRDefault="00B464F1" w:rsidP="00B464F1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Порядок и условия получения земельных участков регламентированы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(далее – Закон № 119-ФЗ).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bookmarkStart w:id="1" w:name="_Hlk76028976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______________________________________________________________</w:t>
      </w:r>
    </w:p>
    <w:bookmarkEnd w:id="1"/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6 шагов для получения бесплатного гектара земли</w:t>
      </w:r>
    </w:p>
    <w:p w:rsidR="00B464F1" w:rsidRPr="002C6BC5" w:rsidRDefault="00B464F1" w:rsidP="00B464F1">
      <w:pPr>
        <w:widowControl/>
        <w:shd w:val="clear" w:color="auto" w:fill="FFFFFF"/>
        <w:suppressAutoHyphens/>
        <w:autoSpaceDN w:val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1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Регистрация на портале </w:t>
      </w:r>
      <w:proofErr w:type="spell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госуслуг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(</w:t>
      </w:r>
      <w:hyperlink r:id="rId6" w:history="1">
        <w:r w:rsidRPr="002C6BC5">
          <w:rPr>
            <w:rFonts w:ascii="Times New Roman" w:eastAsia="SimSun" w:hAnsi="Times New Roman" w:cs="Times New Roman"/>
            <w:color w:val="0000FF"/>
            <w:kern w:val="3"/>
            <w:sz w:val="26"/>
            <w:szCs w:val="26"/>
            <w:u w:val="single"/>
            <w:lang w:eastAsia="zh-CN" w:bidi="hi-IN"/>
          </w:rPr>
          <w:t>gosuslugi.ru</w:t>
        </w:r>
      </w:hyperlink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).</w:t>
      </w:r>
    </w:p>
    <w:p w:rsidR="00B464F1" w:rsidRPr="002C6BC5" w:rsidRDefault="00B464F1" w:rsidP="00B464F1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2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Авторизация на ресурсе «дальневосточного гектара» (</w:t>
      </w:r>
      <w:proofErr w:type="spell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Надальнийвосток.рф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 – вход в личный кабинет через логин и пароль.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3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Выбор границ будущего земельного участка с помощью раздела «Карта» – сформировать участок (земли, выделенные серым, не предоставляются в пользование).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4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Выбрав интересующий участок, Вам необходимо заполнить заявление и приложить скан документа, удостоверяющего личность (паспорт). В случае, если заявление подается представителем – скан документа, подтверждающего его полномочия. Проверка сгенерированного электронного заявления, подтверждение отправки и ожидание ответа. После получения заявки уполномоченный орган обеспечит постановку земельного участка на учет и направит договор безвозмездного пользования заявителю.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5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Заключив договор, в случае если при подаче заявления о предоставлении земельного участка вид деятельности не указан, то необходимо определиться с видом деятельности, которая будет вестись на выделенном участке, и в срок не позднее двух лет уведомить уполномоченный орган о выбранных Вами виде или видах разрешенного использования земельного участка.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6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По истечении 4,5 лет договора безвозмездного пользования земельным участком Вы вправе подать в уполномоченный орган заявление о предоставлении земельного участка в собственность или в аренду на срок до 49 лет.</w:t>
      </w:r>
    </w:p>
    <w:p w:rsidR="00B464F1" w:rsidRPr="002C6BC5" w:rsidRDefault="00B464F1" w:rsidP="00B464F1">
      <w:pPr>
        <w:widowControl/>
        <w:suppressAutoHyphens/>
        <w:autoSpaceDN w:val="0"/>
        <w:ind w:right="-14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693383" w:rsidRDefault="00693383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4BFF" w:rsidRPr="002C6BC5" w:rsidRDefault="008C6956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ВНИМАНИЮ ГРАЖДАН И ЮРИДИЧЕСКИХ ЛИЦ!</w:t>
      </w:r>
    </w:p>
    <w:p w:rsidR="00234BFF" w:rsidRPr="002C6BC5" w:rsidRDefault="00234B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Департамент САТЭК мэрии города Магадана напоминает о необходимости оформления в установленном законодательством Российской Федерации порядке прав на земельные участки, находящихся в фактическом пользовании физических и юридических лиц.</w:t>
      </w:r>
    </w:p>
    <w:p w:rsidR="00234BFF" w:rsidRPr="002C6BC5" w:rsidRDefault="008C6956">
      <w:pPr>
        <w:widowControl/>
        <w:tabs>
          <w:tab w:val="left" w:pos="24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>Права на земельные участки возникают по основаниям, установленным гражданским законодательством, федеральными законами, подлежат государственной регистрации и удостоверяются документами в порядке, установленном Федеральным законом от 13.07.2015 № 218-ФЗ «О государственной регистрации недвижимости». О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тсутствие правоустанавливающих документов может свидетельствовать о самовольном занятии земельного участка.</w:t>
      </w:r>
    </w:p>
    <w:p w:rsidR="00234BFF" w:rsidRPr="002C6BC5" w:rsidRDefault="008C69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65 Земельного кодекса Российской Федерации использование земли в Российской Федерации является платным.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влечет административную ответственность в соответствии со статьей 7.1 Кодекса Российской Федерации об административных правонарушениях. </w:t>
      </w: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По вопросам оформления прав на земельные участки обращаться в департамент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2C6BC5">
        <w:rPr>
          <w:rFonts w:ascii="Times New Roman" w:eastAsia="Times New Roman" w:hAnsi="Times New Roman" w:cs="Times New Roman"/>
          <w:sz w:val="26"/>
          <w:szCs w:val="26"/>
        </w:rPr>
        <w:t>. № 7 в приемные часы: понедельник, среда: с 14:00 до 16:30; вторник, четверг: с 09:30 до 12:30; а также в МОГАУ «Многофункциональный центр предоставления государственных и муниципальных услуг» (ул. Горького, д. 14).</w:t>
      </w:r>
    </w:p>
    <w:p w:rsidR="00331930" w:rsidRPr="002C6BC5" w:rsidRDefault="001963E7" w:rsidP="001963E7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</w:t>
      </w:r>
    </w:p>
    <w:p w:rsidR="00331930" w:rsidRPr="002C6BC5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331930" w:rsidRPr="002C6BC5" w:rsidRDefault="00331930" w:rsidP="00331930">
      <w:pPr>
        <w:suppressAutoHyphens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331930" w:rsidRPr="002C6BC5" w:rsidRDefault="00331930" w:rsidP="00331930">
      <w:pPr>
        <w:suppressAutoHyphens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обязаны: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снятия и перемещения плодородного слоя почвы.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Правообладателям земель сельскохозяйственного назначения рекомендовано принять меры по соблюдению Правил противопожарного режима в Российской </w:t>
      </w: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lastRenderedPageBreak/>
        <w:t>Федерации, утвержденные Постановлением Правительства Российской Федерации от 16.09.2020 № 1479.</w:t>
      </w:r>
    </w:p>
    <w:p w:rsidR="00331930" w:rsidRPr="002C6BC5" w:rsidRDefault="00331930" w:rsidP="00331930">
      <w:pPr>
        <w:suppressAutoHyphens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_______________________________________</w:t>
      </w:r>
      <w:r w:rsidR="00B464F1"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</w:t>
      </w:r>
    </w:p>
    <w:p w:rsidR="00331930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AF1539" w:rsidRPr="00AF1539" w:rsidRDefault="00AF1539" w:rsidP="00AF1539">
      <w:pPr>
        <w:jc w:val="center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AF1539" w:rsidRPr="00AF1539" w:rsidRDefault="00AF1539" w:rsidP="00AF1539">
      <w:pPr>
        <w:rPr>
          <w:sz w:val="26"/>
          <w:szCs w:val="26"/>
        </w:rPr>
      </w:pPr>
    </w:p>
    <w:p w:rsidR="00AF1539" w:rsidRPr="00AF1539" w:rsidRDefault="00AF1539" w:rsidP="00AF1539">
      <w:pPr>
        <w:ind w:firstLine="426"/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обязаны: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снятия и перемещения плодородного слоя почвы.</w:t>
      </w:r>
    </w:p>
    <w:p w:rsidR="00AF1539" w:rsidRPr="00AF1539" w:rsidRDefault="00AF1539" w:rsidP="00AF1539">
      <w:pPr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AF1539" w:rsidRPr="00AF1539" w:rsidRDefault="00AF1539" w:rsidP="00AF153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AF1539" w:rsidRDefault="00AF1539" w:rsidP="00AF1539">
      <w:pPr>
        <w:jc w:val="center"/>
      </w:pPr>
      <w:r>
        <w:rPr>
          <w:noProof/>
        </w:rPr>
        <w:drawing>
          <wp:inline distT="0" distB="0" distL="0" distR="0" wp14:anchorId="7F1A4E66" wp14:editId="2F3EA195">
            <wp:extent cx="3914775" cy="42378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719" t="8509" r="33617" b="11392"/>
                    <a:stretch/>
                  </pic:blipFill>
                  <pic:spPr bwMode="auto">
                    <a:xfrm>
                      <a:off x="0" y="0"/>
                      <a:ext cx="3914775" cy="423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GoBack"/>
      <w:bookmarkEnd w:id="2"/>
    </w:p>
    <w:sectPr w:rsidR="00AF1539">
      <w:pgSz w:w="11906" w:h="16838"/>
      <w:pgMar w:top="851" w:right="707" w:bottom="851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76DA"/>
    <w:multiLevelType w:val="multilevel"/>
    <w:tmpl w:val="BF024D2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1467EBC"/>
    <w:multiLevelType w:val="multilevel"/>
    <w:tmpl w:val="75A0FE84"/>
    <w:styleLink w:val="WWNum2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707784C"/>
    <w:multiLevelType w:val="multilevel"/>
    <w:tmpl w:val="B63CA264"/>
    <w:styleLink w:val="WWNum4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0F13F5D"/>
    <w:multiLevelType w:val="multilevel"/>
    <w:tmpl w:val="3120FFBE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FF"/>
    <w:rsid w:val="000F3D1E"/>
    <w:rsid w:val="001963E7"/>
    <w:rsid w:val="00234BFF"/>
    <w:rsid w:val="00235339"/>
    <w:rsid w:val="002C6BC5"/>
    <w:rsid w:val="00331930"/>
    <w:rsid w:val="003A2273"/>
    <w:rsid w:val="003D2BFB"/>
    <w:rsid w:val="003F6CE9"/>
    <w:rsid w:val="004647D9"/>
    <w:rsid w:val="005D7CF5"/>
    <w:rsid w:val="005F3637"/>
    <w:rsid w:val="00637F9B"/>
    <w:rsid w:val="006931B5"/>
    <w:rsid w:val="00693383"/>
    <w:rsid w:val="006A5694"/>
    <w:rsid w:val="006B21FC"/>
    <w:rsid w:val="00740FB6"/>
    <w:rsid w:val="007752DC"/>
    <w:rsid w:val="007F3B71"/>
    <w:rsid w:val="00843AEF"/>
    <w:rsid w:val="008C6956"/>
    <w:rsid w:val="0094224B"/>
    <w:rsid w:val="00995382"/>
    <w:rsid w:val="00AF1539"/>
    <w:rsid w:val="00B464F1"/>
    <w:rsid w:val="00CE0F73"/>
    <w:rsid w:val="00DC06CD"/>
    <w:rsid w:val="00E31C79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886E7-CF01-4231-A976-675D0807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uiPriority w:val="99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magadan.49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</dc:creator>
  <cp:lastModifiedBy>Дроботун</cp:lastModifiedBy>
  <cp:revision>2</cp:revision>
  <dcterms:created xsi:type="dcterms:W3CDTF">2026-07-14T01:44:00Z</dcterms:created>
  <dcterms:modified xsi:type="dcterms:W3CDTF">2026-07-14T01:44:00Z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